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63BAB" w14:textId="77777777" w:rsidR="00FA3289" w:rsidRDefault="00FA3289" w:rsidP="00830A68">
      <w:pPr>
        <w:spacing w:after="0" w:line="240" w:lineRule="auto"/>
        <w:jc w:val="right"/>
        <w:rPr>
          <w:rFonts w:cstheme="minorHAnsi"/>
          <w:color w:val="000000" w:themeColor="text1"/>
        </w:rPr>
      </w:pPr>
      <w:bookmarkStart w:id="0" w:name="_Hlk58173135"/>
    </w:p>
    <w:p w14:paraId="123261E4" w14:textId="77777777" w:rsidR="00FA3289" w:rsidRDefault="00FA3289" w:rsidP="00830A68">
      <w:pPr>
        <w:spacing w:after="0" w:line="240" w:lineRule="auto"/>
        <w:jc w:val="right"/>
        <w:rPr>
          <w:rFonts w:cstheme="minorHAnsi"/>
          <w:color w:val="000000" w:themeColor="text1"/>
        </w:rPr>
      </w:pPr>
    </w:p>
    <w:p w14:paraId="24969ABF" w14:textId="40722FAF" w:rsidR="00830A68" w:rsidRPr="00DF211A" w:rsidRDefault="00830A68" w:rsidP="00830A68">
      <w:pPr>
        <w:spacing w:after="0" w:line="240" w:lineRule="auto"/>
        <w:jc w:val="right"/>
        <w:rPr>
          <w:rFonts w:cstheme="minorHAnsi"/>
          <w:color w:val="000000" w:themeColor="text1"/>
        </w:rPr>
      </w:pPr>
      <w:r w:rsidRPr="00830A68">
        <w:rPr>
          <w:rFonts w:cstheme="minorHAnsi"/>
          <w:color w:val="000000" w:themeColor="text1"/>
        </w:rPr>
        <w:t>Αθήνα</w:t>
      </w:r>
      <w:r w:rsidRPr="00DF211A">
        <w:rPr>
          <w:rFonts w:cstheme="minorHAnsi"/>
          <w:color w:val="000000" w:themeColor="text1"/>
        </w:rPr>
        <w:t>,</w:t>
      </w:r>
      <w:r w:rsidR="00ED0B32" w:rsidRPr="00DF211A">
        <w:rPr>
          <w:rFonts w:cstheme="minorHAnsi"/>
          <w:color w:val="000000" w:themeColor="text1"/>
        </w:rPr>
        <w:t xml:space="preserve"> </w:t>
      </w:r>
      <w:r w:rsidR="00690577" w:rsidRPr="00DF211A">
        <w:rPr>
          <w:rFonts w:cstheme="minorHAnsi"/>
          <w:color w:val="000000" w:themeColor="text1"/>
        </w:rPr>
        <w:t>1</w:t>
      </w:r>
      <w:r w:rsidR="00301A2F">
        <w:rPr>
          <w:rFonts w:cstheme="minorHAnsi"/>
          <w:color w:val="000000" w:themeColor="text1"/>
        </w:rPr>
        <w:t>6</w:t>
      </w:r>
      <w:r w:rsidR="00073CFD" w:rsidRPr="00DF211A">
        <w:rPr>
          <w:rFonts w:cstheme="minorHAnsi"/>
          <w:color w:val="000000" w:themeColor="text1"/>
        </w:rPr>
        <w:t xml:space="preserve"> </w:t>
      </w:r>
      <w:r w:rsidR="003F6849">
        <w:rPr>
          <w:rFonts w:cstheme="minorHAnsi"/>
          <w:color w:val="000000" w:themeColor="text1"/>
        </w:rPr>
        <w:t>Δεκεμβρίου</w:t>
      </w:r>
      <w:r w:rsidR="002C196B" w:rsidRPr="00DF211A">
        <w:rPr>
          <w:rFonts w:cstheme="minorHAnsi"/>
          <w:color w:val="000000" w:themeColor="text1"/>
        </w:rPr>
        <w:t xml:space="preserve"> 202</w:t>
      </w:r>
      <w:r w:rsidR="00301A2F">
        <w:rPr>
          <w:rFonts w:cstheme="minorHAnsi"/>
          <w:color w:val="000000" w:themeColor="text1"/>
        </w:rPr>
        <w:t>4</w:t>
      </w:r>
    </w:p>
    <w:p w14:paraId="19947FE9" w14:textId="77777777" w:rsidR="004F411E" w:rsidRPr="00DF211A" w:rsidRDefault="004F411E" w:rsidP="00830A68">
      <w:pPr>
        <w:spacing w:after="0" w:line="240" w:lineRule="auto"/>
        <w:jc w:val="right"/>
        <w:rPr>
          <w:rFonts w:cstheme="minorHAnsi"/>
          <w:color w:val="000000" w:themeColor="text1"/>
        </w:rPr>
      </w:pPr>
    </w:p>
    <w:p w14:paraId="40BB5DD0" w14:textId="5433C0CC" w:rsidR="00A91118" w:rsidRPr="00DF211A" w:rsidRDefault="00830A68" w:rsidP="00830A68">
      <w:pPr>
        <w:spacing w:after="0" w:line="240" w:lineRule="auto"/>
        <w:jc w:val="center"/>
        <w:rPr>
          <w:rFonts w:cstheme="minorHAnsi"/>
          <w:b/>
          <w:color w:val="000000" w:themeColor="text1"/>
          <w:sz w:val="24"/>
          <w:szCs w:val="24"/>
        </w:rPr>
      </w:pPr>
      <w:r w:rsidRPr="004F411E">
        <w:rPr>
          <w:rFonts w:cstheme="minorHAnsi"/>
          <w:b/>
          <w:color w:val="000000" w:themeColor="text1"/>
          <w:sz w:val="24"/>
          <w:szCs w:val="24"/>
        </w:rPr>
        <w:t>Δελτίο</w:t>
      </w:r>
      <w:r w:rsidR="00ED0B32" w:rsidRPr="00DF211A">
        <w:rPr>
          <w:rFonts w:cstheme="minorHAnsi"/>
          <w:b/>
          <w:color w:val="000000" w:themeColor="text1"/>
          <w:sz w:val="24"/>
          <w:szCs w:val="24"/>
        </w:rPr>
        <w:t xml:space="preserve"> </w:t>
      </w:r>
      <w:r w:rsidRPr="004F411E">
        <w:rPr>
          <w:rFonts w:cstheme="minorHAnsi"/>
          <w:b/>
          <w:color w:val="000000" w:themeColor="text1"/>
          <w:sz w:val="24"/>
          <w:szCs w:val="24"/>
        </w:rPr>
        <w:t>Τύπου</w:t>
      </w:r>
    </w:p>
    <w:p w14:paraId="60782F05" w14:textId="77777777" w:rsidR="009A265A" w:rsidRPr="00DF211A" w:rsidRDefault="009A265A" w:rsidP="00830A68">
      <w:pPr>
        <w:spacing w:after="0" w:line="240" w:lineRule="auto"/>
        <w:jc w:val="center"/>
        <w:rPr>
          <w:rFonts w:cstheme="minorHAnsi"/>
          <w:b/>
          <w:color w:val="000000" w:themeColor="text1"/>
          <w:sz w:val="24"/>
          <w:szCs w:val="24"/>
        </w:rPr>
      </w:pPr>
    </w:p>
    <w:p w14:paraId="17BD99CC" w14:textId="77777777" w:rsidR="00AF3672" w:rsidRDefault="00F21607" w:rsidP="00301A2F">
      <w:pPr>
        <w:spacing w:after="0" w:line="240" w:lineRule="auto"/>
        <w:jc w:val="center"/>
        <w:rPr>
          <w:rFonts w:cstheme="minorHAnsi"/>
          <w:b/>
          <w:color w:val="000000" w:themeColor="text1"/>
          <w:sz w:val="24"/>
          <w:szCs w:val="24"/>
        </w:rPr>
      </w:pPr>
      <w:r w:rsidRPr="00F21607">
        <w:rPr>
          <w:rFonts w:cstheme="minorHAnsi"/>
          <w:b/>
          <w:color w:val="000000" w:themeColor="text1"/>
          <w:sz w:val="24"/>
          <w:szCs w:val="24"/>
        </w:rPr>
        <w:t>Μελέτη</w:t>
      </w:r>
      <w:r w:rsidR="00363923">
        <w:rPr>
          <w:rFonts w:cstheme="minorHAnsi"/>
          <w:b/>
          <w:color w:val="000000" w:themeColor="text1"/>
          <w:sz w:val="24"/>
          <w:szCs w:val="24"/>
        </w:rPr>
        <w:t xml:space="preserve"> </w:t>
      </w:r>
      <w:r w:rsidR="00363923">
        <w:rPr>
          <w:rFonts w:cstheme="minorHAnsi"/>
          <w:b/>
          <w:color w:val="000000" w:themeColor="text1"/>
          <w:sz w:val="24"/>
          <w:szCs w:val="24"/>
          <w:lang w:val="en-US"/>
        </w:rPr>
        <w:t>Deloitte</w:t>
      </w:r>
      <w:r w:rsidRPr="00F21607">
        <w:rPr>
          <w:rFonts w:cstheme="minorHAnsi"/>
          <w:b/>
          <w:color w:val="000000" w:themeColor="text1"/>
          <w:sz w:val="24"/>
          <w:szCs w:val="24"/>
        </w:rPr>
        <w:t xml:space="preserve">: </w:t>
      </w:r>
      <w:bookmarkEnd w:id="0"/>
      <w:proofErr w:type="spellStart"/>
      <w:r w:rsidR="003B22AD" w:rsidRPr="003B22AD">
        <w:rPr>
          <w:rFonts w:cstheme="minorHAnsi"/>
          <w:b/>
          <w:color w:val="000000" w:themeColor="text1"/>
          <w:sz w:val="24"/>
          <w:szCs w:val="24"/>
        </w:rPr>
        <w:t>Oι</w:t>
      </w:r>
      <w:proofErr w:type="spellEnd"/>
      <w:r w:rsidR="003B22AD" w:rsidRPr="003B22AD">
        <w:rPr>
          <w:rFonts w:cstheme="minorHAnsi"/>
          <w:b/>
          <w:color w:val="000000" w:themeColor="text1"/>
          <w:sz w:val="24"/>
          <w:szCs w:val="24"/>
        </w:rPr>
        <w:t xml:space="preserve"> προοπτικές του κλάδου ΤΠΕ στην Ελλάδα</w:t>
      </w:r>
      <w:r w:rsidR="00C60F3F" w:rsidRPr="00C60F3F">
        <w:rPr>
          <w:rFonts w:cstheme="minorHAnsi"/>
          <w:b/>
          <w:color w:val="000000" w:themeColor="text1"/>
          <w:sz w:val="24"/>
          <w:szCs w:val="24"/>
        </w:rPr>
        <w:t xml:space="preserve">, </w:t>
      </w:r>
    </w:p>
    <w:p w14:paraId="0A371742" w14:textId="6A8CD37F" w:rsidR="00C60F3F" w:rsidRPr="00C60F3F" w:rsidRDefault="00C60F3F" w:rsidP="00301A2F">
      <w:pPr>
        <w:spacing w:after="0" w:line="240" w:lineRule="auto"/>
        <w:jc w:val="center"/>
        <w:rPr>
          <w:rFonts w:cstheme="minorHAnsi"/>
          <w:b/>
          <w:color w:val="000000" w:themeColor="text1"/>
          <w:sz w:val="24"/>
          <w:szCs w:val="24"/>
        </w:rPr>
      </w:pPr>
      <w:r w:rsidRPr="00C60F3F">
        <w:rPr>
          <w:rFonts w:cstheme="minorHAnsi"/>
          <w:b/>
          <w:color w:val="000000" w:themeColor="text1"/>
          <w:sz w:val="24"/>
          <w:szCs w:val="24"/>
        </w:rPr>
        <w:t xml:space="preserve">αγγίζοντας σε αξία </w:t>
      </w:r>
      <w:r w:rsidR="005F5242">
        <w:rPr>
          <w:rFonts w:cstheme="minorHAnsi"/>
          <w:b/>
          <w:color w:val="000000" w:themeColor="text1"/>
          <w:sz w:val="24"/>
          <w:szCs w:val="24"/>
        </w:rPr>
        <w:t xml:space="preserve">αγοράς </w:t>
      </w:r>
      <w:r w:rsidRPr="00C60F3F">
        <w:rPr>
          <w:rFonts w:cstheme="minorHAnsi"/>
          <w:b/>
          <w:color w:val="000000" w:themeColor="text1"/>
          <w:sz w:val="24"/>
          <w:szCs w:val="24"/>
        </w:rPr>
        <w:t xml:space="preserve">τα €10,4 δισ. </w:t>
      </w:r>
    </w:p>
    <w:p w14:paraId="249D78F9" w14:textId="77777777" w:rsidR="00C60F3F" w:rsidRPr="00C60F3F" w:rsidRDefault="00C60F3F" w:rsidP="00301A2F">
      <w:pPr>
        <w:spacing w:after="0" w:line="240" w:lineRule="auto"/>
        <w:jc w:val="center"/>
        <w:rPr>
          <w:rFonts w:cstheme="minorHAnsi"/>
          <w:b/>
          <w:color w:val="000000" w:themeColor="text1"/>
          <w:sz w:val="24"/>
          <w:szCs w:val="24"/>
        </w:rPr>
      </w:pPr>
    </w:p>
    <w:p w14:paraId="1E14B51B" w14:textId="37D0EA74" w:rsidR="00301A2F" w:rsidRPr="00AF3672" w:rsidRDefault="00C60F3F" w:rsidP="00301A2F">
      <w:pPr>
        <w:spacing w:after="0" w:line="240" w:lineRule="auto"/>
        <w:jc w:val="center"/>
        <w:rPr>
          <w:rFonts w:cstheme="minorHAnsi"/>
          <w:b/>
          <w:color w:val="000000" w:themeColor="text1"/>
          <w:sz w:val="24"/>
          <w:szCs w:val="24"/>
        </w:rPr>
      </w:pPr>
      <w:r w:rsidRPr="00C60F3F">
        <w:t xml:space="preserve"> </w:t>
      </w:r>
      <w:r w:rsidRPr="00C60F3F">
        <w:rPr>
          <w:rFonts w:cstheme="minorHAnsi"/>
          <w:b/>
          <w:color w:val="000000" w:themeColor="text1"/>
          <w:sz w:val="24"/>
          <w:szCs w:val="24"/>
        </w:rPr>
        <w:t xml:space="preserve">Σε ιστορικά υψηλά μεγέθη </w:t>
      </w:r>
      <w:r w:rsidR="00AB58E4">
        <w:rPr>
          <w:rFonts w:cstheme="minorHAnsi"/>
          <w:b/>
          <w:color w:val="000000" w:themeColor="text1"/>
          <w:sz w:val="24"/>
          <w:szCs w:val="24"/>
        </w:rPr>
        <w:t>μπορεί</w:t>
      </w:r>
      <w:r w:rsidR="00AB58E4" w:rsidRPr="00C60F3F">
        <w:rPr>
          <w:rFonts w:cstheme="minorHAnsi"/>
          <w:b/>
          <w:color w:val="000000" w:themeColor="text1"/>
          <w:sz w:val="24"/>
          <w:szCs w:val="24"/>
        </w:rPr>
        <w:t xml:space="preserve"> </w:t>
      </w:r>
      <w:r w:rsidRPr="00C60F3F">
        <w:rPr>
          <w:rFonts w:cstheme="minorHAnsi"/>
          <w:b/>
          <w:color w:val="000000" w:themeColor="text1"/>
          <w:sz w:val="24"/>
          <w:szCs w:val="24"/>
        </w:rPr>
        <w:t>να κινηθεί ο κλάδος Τεχνολογιών Πληροφορικής και Επικοινωνιών (ΤΠΕ) με ορίζοντα το 2029</w:t>
      </w:r>
    </w:p>
    <w:p w14:paraId="752DCD48" w14:textId="77777777" w:rsidR="00C60F3F" w:rsidRPr="00AF3672" w:rsidRDefault="00C60F3F" w:rsidP="00301A2F">
      <w:pPr>
        <w:spacing w:after="0" w:line="240" w:lineRule="auto"/>
        <w:jc w:val="center"/>
        <w:rPr>
          <w:rFonts w:cstheme="minorHAnsi"/>
          <w:b/>
          <w:color w:val="000000" w:themeColor="text1"/>
          <w:sz w:val="24"/>
          <w:szCs w:val="24"/>
        </w:rPr>
      </w:pPr>
    </w:p>
    <w:p w14:paraId="58558D87" w14:textId="77777777" w:rsidR="00AF3672" w:rsidRDefault="00C60F3F" w:rsidP="00301A2F">
      <w:pPr>
        <w:spacing w:after="0" w:line="240" w:lineRule="auto"/>
        <w:jc w:val="center"/>
        <w:rPr>
          <w:rFonts w:cstheme="minorHAnsi"/>
          <w:b/>
          <w:color w:val="000000" w:themeColor="text1"/>
          <w:sz w:val="24"/>
          <w:szCs w:val="24"/>
        </w:rPr>
      </w:pPr>
      <w:r>
        <w:rPr>
          <w:rFonts w:cstheme="minorHAnsi"/>
          <w:b/>
          <w:color w:val="000000" w:themeColor="text1"/>
          <w:sz w:val="24"/>
          <w:szCs w:val="24"/>
        </w:rPr>
        <w:t>Κ</w:t>
      </w:r>
      <w:r w:rsidRPr="00C60F3F">
        <w:rPr>
          <w:rFonts w:cstheme="minorHAnsi"/>
          <w:b/>
          <w:color w:val="000000" w:themeColor="text1"/>
          <w:sz w:val="24"/>
          <w:szCs w:val="24"/>
        </w:rPr>
        <w:t>ύριες τεχνολογικές προτεραιότητες για την επόμενη τριετία</w:t>
      </w:r>
      <w:r w:rsidR="00AF3672">
        <w:rPr>
          <w:rFonts w:cstheme="minorHAnsi"/>
          <w:b/>
          <w:color w:val="000000" w:themeColor="text1"/>
          <w:sz w:val="24"/>
          <w:szCs w:val="24"/>
        </w:rPr>
        <w:t>:</w:t>
      </w:r>
      <w:r w:rsidRPr="00C60F3F">
        <w:rPr>
          <w:rFonts w:cstheme="minorHAnsi"/>
          <w:b/>
          <w:color w:val="000000" w:themeColor="text1"/>
          <w:sz w:val="24"/>
          <w:szCs w:val="24"/>
        </w:rPr>
        <w:t xml:space="preserve"> </w:t>
      </w:r>
    </w:p>
    <w:p w14:paraId="3E85B81E" w14:textId="01CF62DD" w:rsidR="00C60F3F" w:rsidRPr="00C60F3F" w:rsidRDefault="00C60F3F" w:rsidP="00301A2F">
      <w:pPr>
        <w:spacing w:after="0" w:line="240" w:lineRule="auto"/>
        <w:jc w:val="center"/>
        <w:rPr>
          <w:rFonts w:cstheme="minorHAnsi"/>
          <w:b/>
          <w:color w:val="000000" w:themeColor="text1"/>
          <w:sz w:val="24"/>
          <w:szCs w:val="24"/>
        </w:rPr>
      </w:pPr>
      <w:r w:rsidRPr="00C60F3F">
        <w:rPr>
          <w:rFonts w:cstheme="minorHAnsi"/>
          <w:b/>
          <w:color w:val="000000" w:themeColor="text1"/>
          <w:sz w:val="24"/>
          <w:szCs w:val="24"/>
        </w:rPr>
        <w:t>Τεχνητή Νοημοσύνη</w:t>
      </w:r>
      <w:r>
        <w:rPr>
          <w:rFonts w:cstheme="minorHAnsi"/>
          <w:b/>
          <w:color w:val="000000" w:themeColor="text1"/>
          <w:sz w:val="24"/>
          <w:szCs w:val="24"/>
        </w:rPr>
        <w:t xml:space="preserve">, </w:t>
      </w:r>
      <w:r w:rsidRPr="00C60F3F">
        <w:rPr>
          <w:rFonts w:cstheme="minorHAnsi"/>
          <w:b/>
          <w:color w:val="000000" w:themeColor="text1"/>
          <w:sz w:val="24"/>
          <w:szCs w:val="24"/>
        </w:rPr>
        <w:t xml:space="preserve">Κυβερνοασφάλεια και </w:t>
      </w:r>
      <w:r w:rsidRPr="00C60F3F">
        <w:rPr>
          <w:rFonts w:cstheme="minorHAnsi"/>
          <w:b/>
          <w:color w:val="000000" w:themeColor="text1"/>
          <w:sz w:val="24"/>
          <w:szCs w:val="24"/>
          <w:lang w:val="en-US"/>
        </w:rPr>
        <w:t>Cloud</w:t>
      </w:r>
      <w:r w:rsidRPr="00C60F3F">
        <w:rPr>
          <w:rFonts w:cstheme="minorHAnsi"/>
          <w:b/>
          <w:color w:val="000000" w:themeColor="text1"/>
          <w:sz w:val="24"/>
          <w:szCs w:val="24"/>
        </w:rPr>
        <w:t xml:space="preserve"> </w:t>
      </w:r>
    </w:p>
    <w:p w14:paraId="1B748E73" w14:textId="77777777" w:rsidR="00301A2F" w:rsidRPr="00301A2F" w:rsidRDefault="00301A2F" w:rsidP="00301A2F">
      <w:pPr>
        <w:suppressAutoHyphens/>
        <w:spacing w:after="0" w:line="240" w:lineRule="auto"/>
        <w:jc w:val="both"/>
        <w:rPr>
          <w:rFonts w:cstheme="minorHAnsi"/>
          <w:b/>
          <w:color w:val="000000" w:themeColor="text1"/>
          <w:sz w:val="24"/>
          <w:szCs w:val="24"/>
        </w:rPr>
      </w:pPr>
    </w:p>
    <w:p w14:paraId="618989BF" w14:textId="77777777" w:rsidR="00301A2F" w:rsidRPr="00301A2F" w:rsidRDefault="00301A2F" w:rsidP="00301A2F">
      <w:pPr>
        <w:suppressAutoHyphens/>
        <w:spacing w:after="0" w:line="240" w:lineRule="auto"/>
        <w:jc w:val="both"/>
        <w:rPr>
          <w:rFonts w:cstheme="minorHAnsi"/>
          <w:b/>
          <w:color w:val="000000" w:themeColor="text1"/>
          <w:sz w:val="24"/>
          <w:szCs w:val="24"/>
        </w:rPr>
      </w:pPr>
    </w:p>
    <w:p w14:paraId="74765886" w14:textId="43DE67AC" w:rsidR="00301A2F" w:rsidRPr="00301A2F" w:rsidRDefault="00301A2F" w:rsidP="00301A2F">
      <w:pPr>
        <w:suppressAutoHyphens/>
        <w:spacing w:after="0" w:line="240" w:lineRule="auto"/>
        <w:jc w:val="both"/>
        <w:rPr>
          <w:rFonts w:cstheme="minorHAnsi"/>
          <w:bCs/>
          <w:color w:val="000000" w:themeColor="text1"/>
          <w:sz w:val="24"/>
          <w:szCs w:val="24"/>
        </w:rPr>
      </w:pPr>
      <w:bookmarkStart w:id="1" w:name="_Hlk185081541"/>
      <w:bookmarkStart w:id="2" w:name="_Hlk185081749"/>
      <w:r w:rsidRPr="00301A2F">
        <w:rPr>
          <w:rFonts w:cstheme="minorHAnsi"/>
          <w:bCs/>
          <w:color w:val="000000" w:themeColor="text1"/>
          <w:sz w:val="24"/>
          <w:szCs w:val="24"/>
        </w:rPr>
        <w:t xml:space="preserve">Σε ιστορικά υψηλά μεγέθη </w:t>
      </w:r>
      <w:r w:rsidR="004077F4">
        <w:rPr>
          <w:rFonts w:cstheme="minorHAnsi"/>
          <w:bCs/>
          <w:color w:val="000000" w:themeColor="text1"/>
          <w:sz w:val="24"/>
          <w:szCs w:val="24"/>
        </w:rPr>
        <w:t>μπορεί</w:t>
      </w:r>
      <w:r w:rsidR="004077F4" w:rsidRPr="00301A2F">
        <w:rPr>
          <w:rFonts w:cstheme="minorHAnsi"/>
          <w:bCs/>
          <w:color w:val="000000" w:themeColor="text1"/>
          <w:sz w:val="24"/>
          <w:szCs w:val="24"/>
        </w:rPr>
        <w:t xml:space="preserve"> </w:t>
      </w:r>
      <w:r w:rsidRPr="00301A2F">
        <w:rPr>
          <w:rFonts w:cstheme="minorHAnsi"/>
          <w:bCs/>
          <w:color w:val="000000" w:themeColor="text1"/>
          <w:sz w:val="24"/>
          <w:szCs w:val="24"/>
        </w:rPr>
        <w:t>να κινηθεί ο κλάδος Τεχνολογιών Πληροφορικής και Επικοινωνιών (ΤΠΕ) με ορίζοντα το 2029</w:t>
      </w:r>
      <w:bookmarkStart w:id="3" w:name="_Hlk185081666"/>
      <w:bookmarkEnd w:id="1"/>
      <w:r w:rsidRPr="00301A2F">
        <w:rPr>
          <w:rFonts w:cstheme="minorHAnsi"/>
          <w:bCs/>
          <w:color w:val="000000" w:themeColor="text1"/>
          <w:sz w:val="24"/>
          <w:szCs w:val="24"/>
        </w:rPr>
        <w:t xml:space="preserve">, αγγίζοντας σε αξία τα €10,4 δισ., ή το ~4,6% του εθνικού ΑΕΠ, </w:t>
      </w:r>
      <w:bookmarkEnd w:id="3"/>
      <w:r w:rsidRPr="00301A2F">
        <w:rPr>
          <w:rFonts w:cstheme="minorHAnsi"/>
          <w:bCs/>
          <w:color w:val="000000" w:themeColor="text1"/>
          <w:sz w:val="24"/>
          <w:szCs w:val="24"/>
        </w:rPr>
        <w:t>καταγράφοντας αύξηση 35% έναντι του 2024 και 80% έναντι του 2019</w:t>
      </w:r>
      <w:r w:rsidR="007866B9">
        <w:rPr>
          <w:rFonts w:cstheme="minorHAnsi"/>
          <w:bCs/>
          <w:color w:val="000000" w:themeColor="text1"/>
          <w:sz w:val="24"/>
          <w:szCs w:val="24"/>
        </w:rPr>
        <w:t>, εφόσον ληφθούν τα κατάλληλα μέτρα για να διατηρήσει την αναπτυξιακή του τροχιά</w:t>
      </w:r>
      <w:r w:rsidRPr="00301A2F">
        <w:rPr>
          <w:rFonts w:cstheme="minorHAnsi"/>
          <w:bCs/>
          <w:color w:val="000000" w:themeColor="text1"/>
          <w:sz w:val="24"/>
          <w:szCs w:val="24"/>
        </w:rPr>
        <w:t xml:space="preserve">. Σε περίπτωση μάλιστα που η Ελλάδα πετύχει σύγκλιση με την Ευρώπη, το μέγεθος του κλάδου </w:t>
      </w:r>
      <w:r w:rsidR="008D4929">
        <w:rPr>
          <w:rFonts w:cstheme="minorHAnsi"/>
          <w:bCs/>
          <w:color w:val="000000" w:themeColor="text1"/>
          <w:sz w:val="24"/>
          <w:szCs w:val="24"/>
        </w:rPr>
        <w:t>δύναται να α</w:t>
      </w:r>
      <w:r w:rsidR="000023DD">
        <w:rPr>
          <w:rFonts w:cstheme="minorHAnsi"/>
          <w:bCs/>
          <w:color w:val="000000" w:themeColor="text1"/>
          <w:sz w:val="24"/>
          <w:szCs w:val="24"/>
        </w:rPr>
        <w:t xml:space="preserve">γγίξει </w:t>
      </w:r>
      <w:r w:rsidRPr="00301A2F">
        <w:rPr>
          <w:rFonts w:cstheme="minorHAnsi"/>
          <w:bCs/>
          <w:color w:val="000000" w:themeColor="text1"/>
          <w:sz w:val="24"/>
          <w:szCs w:val="24"/>
        </w:rPr>
        <w:t xml:space="preserve">τα €12,5 δισ., εισφέροντας το 5,5% του ΑΕΠ. Άλλωστε, </w:t>
      </w:r>
      <w:bookmarkStart w:id="4" w:name="_Hlk185082294"/>
      <w:r w:rsidRPr="00301A2F">
        <w:rPr>
          <w:rFonts w:cstheme="minorHAnsi"/>
          <w:bCs/>
          <w:color w:val="000000" w:themeColor="text1"/>
          <w:sz w:val="24"/>
          <w:szCs w:val="24"/>
        </w:rPr>
        <w:t>την τελευταία πενταετία ο κλάδος αναπτύσσεται με ρυθμό τέσσερις φορές μεγαλύτερο από την υπόλοιπη οικονομία, αναδεικνύοντας τη δυναμική του</w:t>
      </w:r>
      <w:bookmarkEnd w:id="4"/>
      <w:r w:rsidRPr="00301A2F">
        <w:rPr>
          <w:rFonts w:cstheme="minorHAnsi"/>
          <w:bCs/>
          <w:color w:val="000000" w:themeColor="text1"/>
          <w:sz w:val="24"/>
          <w:szCs w:val="24"/>
        </w:rPr>
        <w:t>.</w:t>
      </w:r>
    </w:p>
    <w:p w14:paraId="7B2EFB58" w14:textId="77777777" w:rsidR="00301A2F" w:rsidRPr="00301A2F" w:rsidRDefault="00301A2F" w:rsidP="00301A2F">
      <w:pPr>
        <w:suppressAutoHyphens/>
        <w:spacing w:after="0" w:line="240" w:lineRule="auto"/>
        <w:jc w:val="both"/>
        <w:rPr>
          <w:rFonts w:cstheme="minorHAnsi"/>
          <w:bCs/>
          <w:color w:val="000000" w:themeColor="text1"/>
          <w:sz w:val="24"/>
          <w:szCs w:val="24"/>
        </w:rPr>
      </w:pPr>
    </w:p>
    <w:bookmarkEnd w:id="2"/>
    <w:p w14:paraId="546D6A1C" w14:textId="12ABBE80" w:rsidR="00301A2F" w:rsidRPr="00301A2F" w:rsidRDefault="00301A2F" w:rsidP="00301A2F">
      <w:pPr>
        <w:suppressAutoHyphens/>
        <w:spacing w:after="0" w:line="240" w:lineRule="auto"/>
        <w:jc w:val="both"/>
        <w:rPr>
          <w:rFonts w:cstheme="minorHAnsi"/>
          <w:bCs/>
          <w:color w:val="000000" w:themeColor="text1"/>
          <w:sz w:val="24"/>
          <w:szCs w:val="24"/>
        </w:rPr>
      </w:pPr>
      <w:r w:rsidRPr="00301A2F">
        <w:rPr>
          <w:rFonts w:cstheme="minorHAnsi"/>
          <w:b/>
          <w:color w:val="000000" w:themeColor="text1"/>
          <w:sz w:val="24"/>
          <w:szCs w:val="24"/>
        </w:rPr>
        <w:t xml:space="preserve">Στο παραπάνω συμπέρασμα καταλήγει νέα μελέτη της Deloitte για λογαριασμό του Συνδέσμου Επιχειρήσεων Πληροφορικής και Επικοινωνιών, με τίτλο «Οι προοπτικές του κλάδου ΤΠΕ στην Ελλάδα», που παρουσιάστηκε </w:t>
      </w:r>
      <w:r w:rsidRPr="00BB2D26">
        <w:rPr>
          <w:rFonts w:cstheme="minorHAnsi"/>
          <w:b/>
          <w:color w:val="000000" w:themeColor="text1"/>
          <w:sz w:val="24"/>
          <w:szCs w:val="24"/>
        </w:rPr>
        <w:t>σήμερα</w:t>
      </w:r>
      <w:r w:rsidRPr="00301A2F">
        <w:rPr>
          <w:rFonts w:cstheme="minorHAnsi"/>
          <w:b/>
          <w:color w:val="000000" w:themeColor="text1"/>
          <w:sz w:val="24"/>
          <w:szCs w:val="24"/>
        </w:rPr>
        <w:t xml:space="preserve"> στο digital economy forum 2024: </w:t>
      </w:r>
      <w:proofErr w:type="spellStart"/>
      <w:r w:rsidRPr="00301A2F">
        <w:rPr>
          <w:rFonts w:cstheme="minorHAnsi"/>
          <w:b/>
          <w:color w:val="000000" w:themeColor="text1"/>
          <w:sz w:val="24"/>
          <w:szCs w:val="24"/>
        </w:rPr>
        <w:t>Navigating</w:t>
      </w:r>
      <w:proofErr w:type="spellEnd"/>
      <w:r w:rsidRPr="00301A2F">
        <w:rPr>
          <w:rFonts w:cstheme="minorHAnsi"/>
          <w:b/>
          <w:color w:val="000000" w:themeColor="text1"/>
          <w:sz w:val="24"/>
          <w:szCs w:val="24"/>
        </w:rPr>
        <w:t xml:space="preserve"> the digital </w:t>
      </w:r>
      <w:proofErr w:type="spellStart"/>
      <w:r w:rsidRPr="00301A2F">
        <w:rPr>
          <w:rFonts w:cstheme="minorHAnsi"/>
          <w:b/>
          <w:color w:val="000000" w:themeColor="text1"/>
          <w:sz w:val="24"/>
          <w:szCs w:val="24"/>
        </w:rPr>
        <w:t>future</w:t>
      </w:r>
      <w:proofErr w:type="spellEnd"/>
      <w:r w:rsidRPr="00301A2F">
        <w:rPr>
          <w:rFonts w:cstheme="minorHAnsi"/>
          <w:b/>
          <w:color w:val="000000" w:themeColor="text1"/>
          <w:sz w:val="24"/>
          <w:szCs w:val="24"/>
        </w:rPr>
        <w:t xml:space="preserve">. </w:t>
      </w:r>
      <w:r w:rsidRPr="00301A2F">
        <w:rPr>
          <w:rFonts w:cstheme="minorHAnsi"/>
          <w:bCs/>
          <w:color w:val="000000" w:themeColor="text1"/>
          <w:sz w:val="24"/>
          <w:szCs w:val="24"/>
        </w:rPr>
        <w:t xml:space="preserve">Η μελέτη </w:t>
      </w:r>
      <w:bookmarkStart w:id="5" w:name="_Hlk185082189"/>
      <w:r w:rsidRPr="00301A2F">
        <w:rPr>
          <w:rFonts w:cstheme="minorHAnsi"/>
          <w:bCs/>
          <w:color w:val="000000" w:themeColor="text1"/>
          <w:sz w:val="24"/>
          <w:szCs w:val="24"/>
        </w:rPr>
        <w:t>αποκαλύπτει σημαντικές ευκαιρίες και προκλήσεις, υποδεικνύοντας πώς η Ελλάδα μπορεί να πρωταγωνιστήσει στην ψηφιακή εποχή.</w:t>
      </w:r>
    </w:p>
    <w:p w14:paraId="048C99DB" w14:textId="77777777" w:rsidR="00301A2F" w:rsidRPr="00301A2F" w:rsidRDefault="00301A2F" w:rsidP="00301A2F">
      <w:pPr>
        <w:suppressAutoHyphens/>
        <w:spacing w:after="0" w:line="240" w:lineRule="auto"/>
        <w:jc w:val="both"/>
        <w:rPr>
          <w:rFonts w:cstheme="minorHAnsi"/>
          <w:b/>
          <w:color w:val="000000" w:themeColor="text1"/>
          <w:sz w:val="24"/>
          <w:szCs w:val="24"/>
        </w:rPr>
      </w:pPr>
    </w:p>
    <w:bookmarkEnd w:id="5"/>
    <w:p w14:paraId="20F70655" w14:textId="7DD5CA8B" w:rsidR="00301A2F" w:rsidRPr="00301A2F" w:rsidRDefault="00301A2F" w:rsidP="00301A2F">
      <w:pPr>
        <w:suppressAutoHyphens/>
        <w:spacing w:after="0" w:line="240" w:lineRule="auto"/>
        <w:jc w:val="both"/>
        <w:rPr>
          <w:rFonts w:cstheme="minorHAnsi"/>
          <w:b/>
          <w:color w:val="000000" w:themeColor="text1"/>
          <w:sz w:val="24"/>
          <w:szCs w:val="24"/>
        </w:rPr>
      </w:pPr>
      <w:r w:rsidRPr="00301A2F">
        <w:rPr>
          <w:rFonts w:cstheme="minorHAnsi"/>
          <w:b/>
          <w:color w:val="000000" w:themeColor="text1"/>
          <w:sz w:val="24"/>
          <w:szCs w:val="24"/>
        </w:rPr>
        <w:t xml:space="preserve">Σύμφωνα με τα ευρήματά της, οι εταιρείες του κλάδου, με εκτιμώμενο κύκλο εργασιών που αγγίζει τα 13,8 δισ. ευρώ ετησίως και περισσότερους από </w:t>
      </w:r>
      <w:r w:rsidR="003E3E9C">
        <w:rPr>
          <w:rFonts w:cstheme="minorHAnsi"/>
          <w:b/>
          <w:color w:val="000000" w:themeColor="text1"/>
          <w:sz w:val="24"/>
          <w:szCs w:val="24"/>
        </w:rPr>
        <w:t>300.00</w:t>
      </w:r>
      <w:r w:rsidRPr="00301A2F">
        <w:rPr>
          <w:rFonts w:cstheme="minorHAnsi"/>
          <w:b/>
          <w:color w:val="000000" w:themeColor="text1"/>
          <w:sz w:val="24"/>
          <w:szCs w:val="24"/>
        </w:rPr>
        <w:t xml:space="preserve">0 απασχολούμενους, </w:t>
      </w:r>
      <w:r w:rsidR="00BF3B54">
        <w:rPr>
          <w:rFonts w:cstheme="minorHAnsi"/>
          <w:b/>
          <w:color w:val="000000" w:themeColor="text1"/>
          <w:sz w:val="24"/>
          <w:szCs w:val="24"/>
        </w:rPr>
        <w:t>συνεισφέρουν σημαντικά στην</w:t>
      </w:r>
      <w:r w:rsidRPr="00301A2F">
        <w:rPr>
          <w:rFonts w:cstheme="minorHAnsi"/>
          <w:b/>
          <w:color w:val="000000" w:themeColor="text1"/>
          <w:sz w:val="24"/>
          <w:szCs w:val="24"/>
        </w:rPr>
        <w:t xml:space="preserve"> οικονομική δραστηριότητα της χώρας. </w:t>
      </w:r>
    </w:p>
    <w:p w14:paraId="7570D9B1" w14:textId="557FA762" w:rsidR="00301A2F" w:rsidRPr="00301A2F" w:rsidRDefault="00301A2F" w:rsidP="00301A2F">
      <w:pPr>
        <w:suppressAutoHyphens/>
        <w:spacing w:after="0" w:line="240" w:lineRule="auto"/>
        <w:jc w:val="both"/>
        <w:rPr>
          <w:rFonts w:cstheme="minorHAnsi"/>
          <w:bCs/>
          <w:color w:val="000000" w:themeColor="text1"/>
          <w:sz w:val="24"/>
          <w:szCs w:val="24"/>
        </w:rPr>
      </w:pPr>
      <w:r w:rsidRPr="00301A2F">
        <w:rPr>
          <w:rFonts w:cstheme="minorHAnsi"/>
          <w:bCs/>
          <w:color w:val="000000" w:themeColor="text1"/>
          <w:sz w:val="24"/>
          <w:szCs w:val="24"/>
        </w:rPr>
        <w:t>Ένα χαρακτηριστικό παράδειγμα της συμβολής του κλάδου είναι ότι η ψηφιοποίηση της δημόσιας διοίκησης, μέσω του gov.gr</w:t>
      </w:r>
      <w:r w:rsidR="00F30E86">
        <w:rPr>
          <w:rFonts w:cstheme="minorHAnsi"/>
          <w:bCs/>
          <w:color w:val="000000" w:themeColor="text1"/>
          <w:sz w:val="24"/>
          <w:szCs w:val="24"/>
        </w:rPr>
        <w:t xml:space="preserve"> και του ΚΕΔ</w:t>
      </w:r>
      <w:r w:rsidRPr="00301A2F">
        <w:rPr>
          <w:rFonts w:cstheme="minorHAnsi"/>
          <w:bCs/>
          <w:color w:val="000000" w:themeColor="text1"/>
          <w:sz w:val="24"/>
          <w:szCs w:val="24"/>
        </w:rPr>
        <w:t xml:space="preserve">, </w:t>
      </w:r>
      <w:r w:rsidR="00F30E86">
        <w:rPr>
          <w:rFonts w:cstheme="minorHAnsi"/>
          <w:bCs/>
          <w:color w:val="000000" w:themeColor="text1"/>
          <w:sz w:val="24"/>
          <w:szCs w:val="24"/>
        </w:rPr>
        <w:t xml:space="preserve">έχει εκτιμηθεί ότι </w:t>
      </w:r>
      <w:r w:rsidRPr="00301A2F">
        <w:rPr>
          <w:rFonts w:cstheme="minorHAnsi"/>
          <w:bCs/>
          <w:color w:val="000000" w:themeColor="text1"/>
          <w:sz w:val="24"/>
          <w:szCs w:val="24"/>
        </w:rPr>
        <w:t>απέφερε περίπου 3 δισ. ευρώ οφέλη τα πρώτα πέντε χρόνια λειτουργίας του</w:t>
      </w:r>
      <w:r w:rsidR="001E4B58">
        <w:rPr>
          <w:rFonts w:cstheme="minorHAnsi"/>
          <w:bCs/>
          <w:color w:val="000000" w:themeColor="text1"/>
          <w:sz w:val="24"/>
          <w:szCs w:val="24"/>
        </w:rPr>
        <w:t>ς</w:t>
      </w:r>
      <w:r w:rsidRPr="00301A2F">
        <w:rPr>
          <w:rFonts w:cstheme="minorHAnsi"/>
          <w:bCs/>
          <w:color w:val="000000" w:themeColor="text1"/>
          <w:sz w:val="24"/>
          <w:szCs w:val="24"/>
        </w:rPr>
        <w:t xml:space="preserve">, ενώ έχει αποφέρει </w:t>
      </w:r>
      <w:r w:rsidR="00FE691B">
        <w:rPr>
          <w:rFonts w:cstheme="minorHAnsi"/>
          <w:bCs/>
          <w:color w:val="000000" w:themeColor="text1"/>
          <w:sz w:val="24"/>
          <w:szCs w:val="24"/>
        </w:rPr>
        <w:t xml:space="preserve">περίπου </w:t>
      </w:r>
      <w:r w:rsidRPr="00301A2F">
        <w:rPr>
          <w:rFonts w:cstheme="minorHAnsi"/>
          <w:bCs/>
          <w:color w:val="000000" w:themeColor="text1"/>
          <w:sz w:val="24"/>
          <w:szCs w:val="24"/>
        </w:rPr>
        <w:t>2,5 δισ. ευρώ επιπλέον έσοδα μέσω περιορισμού της φοροδιαφυγής.</w:t>
      </w:r>
    </w:p>
    <w:p w14:paraId="055C6074" w14:textId="77777777" w:rsidR="00301A2F" w:rsidRPr="00301A2F" w:rsidRDefault="00301A2F" w:rsidP="00301A2F">
      <w:pPr>
        <w:suppressAutoHyphens/>
        <w:spacing w:after="0" w:line="240" w:lineRule="auto"/>
        <w:jc w:val="both"/>
        <w:rPr>
          <w:rFonts w:cstheme="minorHAnsi"/>
          <w:bCs/>
          <w:color w:val="000000" w:themeColor="text1"/>
          <w:sz w:val="24"/>
          <w:szCs w:val="24"/>
        </w:rPr>
      </w:pPr>
    </w:p>
    <w:p w14:paraId="43ECED13" w14:textId="77777777" w:rsidR="00301A2F" w:rsidRPr="00301A2F" w:rsidRDefault="00301A2F" w:rsidP="00301A2F">
      <w:pPr>
        <w:suppressAutoHyphens/>
        <w:spacing w:after="0" w:line="240" w:lineRule="auto"/>
        <w:jc w:val="both"/>
        <w:rPr>
          <w:rFonts w:cstheme="minorHAnsi"/>
          <w:b/>
          <w:color w:val="000000" w:themeColor="text1"/>
          <w:sz w:val="24"/>
          <w:szCs w:val="24"/>
        </w:rPr>
      </w:pPr>
      <w:r w:rsidRPr="00301A2F">
        <w:rPr>
          <w:rFonts w:cstheme="minorHAnsi"/>
          <w:b/>
          <w:color w:val="000000" w:themeColor="text1"/>
          <w:sz w:val="24"/>
          <w:szCs w:val="24"/>
        </w:rPr>
        <w:t>Προτεραιότητες και ευκαιρίες</w:t>
      </w:r>
    </w:p>
    <w:p w14:paraId="734FCED0" w14:textId="77777777" w:rsidR="00301A2F" w:rsidRPr="00301A2F" w:rsidRDefault="00301A2F" w:rsidP="00301A2F">
      <w:pPr>
        <w:suppressAutoHyphens/>
        <w:spacing w:after="0" w:line="240" w:lineRule="auto"/>
        <w:jc w:val="both"/>
        <w:rPr>
          <w:rFonts w:cstheme="minorHAnsi"/>
          <w:b/>
          <w:color w:val="000000" w:themeColor="text1"/>
          <w:sz w:val="24"/>
          <w:szCs w:val="24"/>
        </w:rPr>
      </w:pPr>
    </w:p>
    <w:p w14:paraId="57BDE464" w14:textId="5B11D2C4" w:rsidR="00301A2F" w:rsidRPr="00301A2F" w:rsidRDefault="00301A2F" w:rsidP="00301A2F">
      <w:pPr>
        <w:suppressAutoHyphens/>
        <w:spacing w:after="0" w:line="240" w:lineRule="auto"/>
        <w:jc w:val="both"/>
        <w:rPr>
          <w:rFonts w:cstheme="minorHAnsi"/>
          <w:bCs/>
          <w:color w:val="000000" w:themeColor="text1"/>
          <w:sz w:val="24"/>
          <w:szCs w:val="24"/>
        </w:rPr>
      </w:pPr>
      <w:r w:rsidRPr="00301A2F">
        <w:rPr>
          <w:rFonts w:cstheme="minorHAnsi"/>
          <w:bCs/>
          <w:color w:val="000000" w:themeColor="text1"/>
          <w:sz w:val="24"/>
          <w:szCs w:val="24"/>
        </w:rPr>
        <w:t xml:space="preserve">Η </w:t>
      </w:r>
      <w:r w:rsidR="001E47B1">
        <w:rPr>
          <w:rFonts w:cstheme="minorHAnsi"/>
          <w:bCs/>
          <w:color w:val="000000" w:themeColor="text1"/>
          <w:sz w:val="24"/>
          <w:szCs w:val="24"/>
        </w:rPr>
        <w:t xml:space="preserve">πρωτογενής </w:t>
      </w:r>
      <w:r w:rsidRPr="00301A2F">
        <w:rPr>
          <w:rFonts w:cstheme="minorHAnsi"/>
          <w:bCs/>
          <w:color w:val="000000" w:themeColor="text1"/>
          <w:sz w:val="24"/>
          <w:szCs w:val="24"/>
        </w:rPr>
        <w:t xml:space="preserve">έρευνα </w:t>
      </w:r>
      <w:r w:rsidR="001E47B1">
        <w:rPr>
          <w:rFonts w:cstheme="minorHAnsi"/>
          <w:bCs/>
          <w:color w:val="000000" w:themeColor="text1"/>
          <w:sz w:val="24"/>
          <w:szCs w:val="24"/>
        </w:rPr>
        <w:t xml:space="preserve">που διενεργήθηκε σε περίπου 200 στελέχη του κλάδου ΤΠΕ </w:t>
      </w:r>
      <w:r w:rsidRPr="00301A2F">
        <w:rPr>
          <w:rFonts w:cstheme="minorHAnsi"/>
          <w:bCs/>
          <w:color w:val="000000" w:themeColor="text1"/>
          <w:sz w:val="24"/>
          <w:szCs w:val="24"/>
        </w:rPr>
        <w:t xml:space="preserve">αναδεικνύει ως </w:t>
      </w:r>
      <w:bookmarkStart w:id="6" w:name="_Hlk185081596"/>
      <w:r w:rsidRPr="00301A2F">
        <w:rPr>
          <w:rFonts w:cstheme="minorHAnsi"/>
          <w:bCs/>
          <w:color w:val="000000" w:themeColor="text1"/>
          <w:sz w:val="24"/>
          <w:szCs w:val="24"/>
        </w:rPr>
        <w:t xml:space="preserve">κύριες τεχνολογικές προτεραιότητες για την επόμενη τριετία την Τεχνητή Νοημοσύνη (30%), την Κυβερνοασφάλεια (18%) και το </w:t>
      </w:r>
      <w:proofErr w:type="spellStart"/>
      <w:r w:rsidRPr="00301A2F">
        <w:rPr>
          <w:rFonts w:cstheme="minorHAnsi"/>
          <w:bCs/>
          <w:color w:val="000000" w:themeColor="text1"/>
          <w:sz w:val="24"/>
          <w:szCs w:val="24"/>
        </w:rPr>
        <w:t>Cloud</w:t>
      </w:r>
      <w:proofErr w:type="spellEnd"/>
      <w:r w:rsidRPr="00301A2F">
        <w:rPr>
          <w:rFonts w:cstheme="minorHAnsi"/>
          <w:bCs/>
          <w:color w:val="000000" w:themeColor="text1"/>
          <w:sz w:val="24"/>
          <w:szCs w:val="24"/>
        </w:rPr>
        <w:t xml:space="preserve"> (13%). </w:t>
      </w:r>
      <w:bookmarkEnd w:id="6"/>
      <w:r w:rsidRPr="00301A2F">
        <w:rPr>
          <w:rFonts w:cstheme="minorHAnsi"/>
          <w:bCs/>
          <w:color w:val="000000" w:themeColor="text1"/>
          <w:sz w:val="24"/>
          <w:szCs w:val="24"/>
        </w:rPr>
        <w:t>Παράλληλα, το Διαδίκτυο των Πραγμάτων (6%) και τα Μεγάλα Δεδομένα (10%) επισημαίνονται ως τομείς με σημαντικές δυνατότητες.</w:t>
      </w:r>
    </w:p>
    <w:p w14:paraId="2AEFC0A6" w14:textId="77777777" w:rsidR="00301A2F" w:rsidRPr="00301A2F" w:rsidRDefault="00301A2F" w:rsidP="00301A2F">
      <w:pPr>
        <w:suppressAutoHyphens/>
        <w:spacing w:after="0" w:line="240" w:lineRule="auto"/>
        <w:jc w:val="both"/>
        <w:rPr>
          <w:rFonts w:cstheme="minorHAnsi"/>
          <w:bCs/>
          <w:color w:val="000000" w:themeColor="text1"/>
          <w:sz w:val="24"/>
          <w:szCs w:val="24"/>
        </w:rPr>
      </w:pPr>
    </w:p>
    <w:p w14:paraId="4ABE5E7F" w14:textId="4BAFA1D3" w:rsidR="00301A2F" w:rsidRPr="00301A2F" w:rsidRDefault="00301A2F" w:rsidP="00301A2F">
      <w:pPr>
        <w:suppressAutoHyphens/>
        <w:spacing w:after="0" w:line="240" w:lineRule="auto"/>
        <w:jc w:val="both"/>
        <w:rPr>
          <w:rFonts w:cstheme="minorHAnsi"/>
          <w:bCs/>
          <w:color w:val="000000" w:themeColor="text1"/>
          <w:sz w:val="24"/>
          <w:szCs w:val="24"/>
        </w:rPr>
      </w:pPr>
      <w:r w:rsidRPr="00301A2F">
        <w:rPr>
          <w:rFonts w:cstheme="minorHAnsi"/>
          <w:bCs/>
          <w:color w:val="000000" w:themeColor="text1"/>
          <w:sz w:val="24"/>
          <w:szCs w:val="24"/>
        </w:rPr>
        <w:t xml:space="preserve">Σύμφωνα με την </w:t>
      </w:r>
      <w:r w:rsidR="001E47B1">
        <w:rPr>
          <w:rFonts w:cstheme="minorHAnsi"/>
          <w:bCs/>
          <w:color w:val="000000" w:themeColor="text1"/>
          <w:sz w:val="24"/>
          <w:szCs w:val="24"/>
        </w:rPr>
        <w:t xml:space="preserve">εν λόγω </w:t>
      </w:r>
      <w:r w:rsidRPr="00301A2F">
        <w:rPr>
          <w:rFonts w:cstheme="minorHAnsi"/>
          <w:bCs/>
          <w:color w:val="000000" w:themeColor="text1"/>
          <w:sz w:val="24"/>
          <w:szCs w:val="24"/>
        </w:rPr>
        <w:t xml:space="preserve">έρευνα, ο κλάδος ΤΠΕ έχει τη δυνατότητα να στηρίξει τον ψηφιακό μετασχηματισμό </w:t>
      </w:r>
      <w:r w:rsidR="00810285">
        <w:rPr>
          <w:rFonts w:cstheme="minorHAnsi"/>
          <w:bCs/>
          <w:color w:val="000000" w:themeColor="text1"/>
          <w:sz w:val="24"/>
          <w:szCs w:val="24"/>
        </w:rPr>
        <w:t>όλων των κλάδων</w:t>
      </w:r>
      <w:r w:rsidR="003E3E9C">
        <w:rPr>
          <w:rFonts w:cstheme="minorHAnsi"/>
          <w:bCs/>
          <w:color w:val="000000" w:themeColor="text1"/>
          <w:sz w:val="24"/>
          <w:szCs w:val="24"/>
        </w:rPr>
        <w:t>,</w:t>
      </w:r>
      <w:r w:rsidR="00810285">
        <w:rPr>
          <w:rFonts w:cstheme="minorHAnsi"/>
          <w:bCs/>
          <w:color w:val="000000" w:themeColor="text1"/>
          <w:sz w:val="24"/>
          <w:szCs w:val="24"/>
        </w:rPr>
        <w:t xml:space="preserve"> ενώ οι μεγαλύτερες ανάγκες εντοπίζονται</w:t>
      </w:r>
      <w:r w:rsidRPr="00301A2F">
        <w:rPr>
          <w:rFonts w:cstheme="minorHAnsi"/>
          <w:bCs/>
          <w:color w:val="000000" w:themeColor="text1"/>
          <w:sz w:val="24"/>
          <w:szCs w:val="24"/>
        </w:rPr>
        <w:t xml:space="preserve"> </w:t>
      </w:r>
      <w:r w:rsidR="00810285">
        <w:rPr>
          <w:rFonts w:cstheme="minorHAnsi"/>
          <w:bCs/>
          <w:color w:val="000000" w:themeColor="text1"/>
          <w:sz w:val="24"/>
          <w:szCs w:val="24"/>
        </w:rPr>
        <w:t>στην</w:t>
      </w:r>
      <w:r w:rsidRPr="00301A2F">
        <w:rPr>
          <w:rFonts w:cstheme="minorHAnsi"/>
          <w:bCs/>
          <w:color w:val="000000" w:themeColor="text1"/>
          <w:sz w:val="24"/>
          <w:szCs w:val="24"/>
        </w:rPr>
        <w:t xml:space="preserve"> υγεία (20%), </w:t>
      </w:r>
      <w:r w:rsidR="00810285">
        <w:rPr>
          <w:rFonts w:cstheme="minorHAnsi"/>
          <w:bCs/>
          <w:color w:val="000000" w:themeColor="text1"/>
          <w:sz w:val="24"/>
          <w:szCs w:val="24"/>
        </w:rPr>
        <w:t>στην</w:t>
      </w:r>
      <w:r w:rsidRPr="00301A2F">
        <w:rPr>
          <w:rFonts w:cstheme="minorHAnsi"/>
          <w:bCs/>
          <w:color w:val="000000" w:themeColor="text1"/>
          <w:sz w:val="24"/>
          <w:szCs w:val="24"/>
        </w:rPr>
        <w:t xml:space="preserve"> ενέργεια (15%) και </w:t>
      </w:r>
      <w:r w:rsidR="00810285">
        <w:rPr>
          <w:rFonts w:cstheme="minorHAnsi"/>
          <w:bCs/>
          <w:color w:val="000000" w:themeColor="text1"/>
          <w:sz w:val="24"/>
          <w:szCs w:val="24"/>
        </w:rPr>
        <w:t>στις</w:t>
      </w:r>
      <w:r w:rsidRPr="00301A2F">
        <w:rPr>
          <w:rFonts w:cstheme="minorHAnsi"/>
          <w:bCs/>
          <w:color w:val="000000" w:themeColor="text1"/>
          <w:sz w:val="24"/>
          <w:szCs w:val="24"/>
        </w:rPr>
        <w:t xml:space="preserve"> χρηματοοικονομικές υπηρεσίες (11%). </w:t>
      </w:r>
    </w:p>
    <w:p w14:paraId="043BFED7" w14:textId="77777777" w:rsidR="00301A2F" w:rsidRPr="00301A2F" w:rsidRDefault="00301A2F" w:rsidP="00301A2F">
      <w:pPr>
        <w:suppressAutoHyphens/>
        <w:spacing w:after="0" w:line="240" w:lineRule="auto"/>
        <w:jc w:val="both"/>
        <w:rPr>
          <w:rFonts w:cstheme="minorHAnsi"/>
          <w:bCs/>
          <w:color w:val="000000" w:themeColor="text1"/>
          <w:sz w:val="24"/>
          <w:szCs w:val="24"/>
        </w:rPr>
      </w:pPr>
    </w:p>
    <w:p w14:paraId="0CAC2346" w14:textId="77777777" w:rsidR="00301A2F" w:rsidRPr="00301A2F" w:rsidRDefault="00301A2F" w:rsidP="00301A2F">
      <w:pPr>
        <w:suppressAutoHyphens/>
        <w:spacing w:after="0" w:line="240" w:lineRule="auto"/>
        <w:jc w:val="both"/>
        <w:rPr>
          <w:rFonts w:cstheme="minorHAnsi"/>
          <w:bCs/>
          <w:color w:val="000000" w:themeColor="text1"/>
          <w:sz w:val="24"/>
          <w:szCs w:val="24"/>
        </w:rPr>
      </w:pPr>
      <w:r w:rsidRPr="00301A2F">
        <w:rPr>
          <w:rFonts w:cstheme="minorHAnsi"/>
          <w:bCs/>
          <w:color w:val="000000" w:themeColor="text1"/>
          <w:sz w:val="24"/>
          <w:szCs w:val="24"/>
        </w:rPr>
        <w:t>Παρά τη δυναμική του, ο κλάδος ΤΠΕ αντιμετωπίζει σημαντικές προκλήσεις, όπως η έλλειψη ταλέντου, οι ανεπαρκείς υποδομές και οι κανονιστικοί περιορισμοί. Μόλις το 2% των στελεχών θεωρεί ότι οι υπάρχουσες ψηφιακές υποδομές επαρκούν, ενώ το 63% αναγνωρίζει ότι χρειάζονται σημαντικές βελτιώσεις.</w:t>
      </w:r>
    </w:p>
    <w:p w14:paraId="42D1EB81" w14:textId="77777777" w:rsidR="00301A2F" w:rsidRPr="00301A2F" w:rsidRDefault="00301A2F" w:rsidP="00301A2F">
      <w:pPr>
        <w:suppressAutoHyphens/>
        <w:spacing w:after="0" w:line="240" w:lineRule="auto"/>
        <w:jc w:val="both"/>
        <w:rPr>
          <w:rFonts w:cstheme="minorHAnsi"/>
          <w:b/>
          <w:color w:val="000000" w:themeColor="text1"/>
          <w:sz w:val="24"/>
          <w:szCs w:val="24"/>
        </w:rPr>
      </w:pPr>
    </w:p>
    <w:p w14:paraId="0A447AC0" w14:textId="1D453EB5" w:rsidR="00301A2F" w:rsidRPr="00301A2F" w:rsidRDefault="00301A2F" w:rsidP="00301A2F">
      <w:pPr>
        <w:suppressAutoHyphens/>
        <w:spacing w:after="0" w:line="240" w:lineRule="auto"/>
        <w:jc w:val="both"/>
        <w:rPr>
          <w:rFonts w:cstheme="minorHAnsi"/>
          <w:bCs/>
          <w:color w:val="000000" w:themeColor="text1"/>
          <w:sz w:val="24"/>
          <w:szCs w:val="24"/>
        </w:rPr>
      </w:pPr>
      <w:r w:rsidRPr="00301A2F">
        <w:rPr>
          <w:rFonts w:cstheme="minorHAnsi"/>
          <w:bCs/>
          <w:color w:val="000000" w:themeColor="text1"/>
          <w:sz w:val="24"/>
          <w:szCs w:val="24"/>
        </w:rPr>
        <w:t xml:space="preserve">Πάντως, η έρευνα δείχνει ότι τα στελέχη του κλάδου είναι στην πλειονότητά τους αισιόδοξα για την πορεία του, με ένα ποσοστό μεγαλύτερο του 53% να δηλώνει "επιφυλακτικά αισιόδοξο", ενώ το </w:t>
      </w:r>
      <w:r w:rsidR="00AB17D5">
        <w:rPr>
          <w:rFonts w:cstheme="minorHAnsi"/>
          <w:bCs/>
          <w:color w:val="000000" w:themeColor="text1"/>
          <w:sz w:val="24"/>
          <w:szCs w:val="24"/>
        </w:rPr>
        <w:t>27</w:t>
      </w:r>
      <w:r w:rsidRPr="00301A2F">
        <w:rPr>
          <w:rFonts w:cstheme="minorHAnsi"/>
          <w:bCs/>
          <w:color w:val="000000" w:themeColor="text1"/>
          <w:sz w:val="24"/>
          <w:szCs w:val="24"/>
        </w:rPr>
        <w:t>% βλέπει σημαντικές δυνατότητες ανάπτυξης, κυρίως μέσω αναδυόμενων τεχνολογιών και ψηφιακού μετασχηματισμού στον δημόσιο και ιδιωτικό τομέα.</w:t>
      </w:r>
    </w:p>
    <w:p w14:paraId="0025C4C9" w14:textId="77777777" w:rsidR="00301A2F" w:rsidRPr="00301A2F" w:rsidRDefault="00301A2F" w:rsidP="00301A2F">
      <w:pPr>
        <w:suppressAutoHyphens/>
        <w:spacing w:after="0" w:line="240" w:lineRule="auto"/>
        <w:jc w:val="both"/>
        <w:rPr>
          <w:rFonts w:cstheme="minorHAnsi"/>
          <w:b/>
          <w:color w:val="000000" w:themeColor="text1"/>
          <w:sz w:val="24"/>
          <w:szCs w:val="24"/>
        </w:rPr>
      </w:pPr>
    </w:p>
    <w:p w14:paraId="43FB0CDD" w14:textId="77777777" w:rsidR="00301A2F" w:rsidRPr="00301A2F" w:rsidRDefault="00301A2F" w:rsidP="00301A2F">
      <w:pPr>
        <w:suppressAutoHyphens/>
        <w:spacing w:after="0" w:line="240" w:lineRule="auto"/>
        <w:jc w:val="both"/>
        <w:rPr>
          <w:rFonts w:cstheme="minorHAnsi"/>
          <w:b/>
          <w:color w:val="000000" w:themeColor="text1"/>
          <w:sz w:val="24"/>
          <w:szCs w:val="24"/>
        </w:rPr>
      </w:pPr>
      <w:r w:rsidRPr="00301A2F">
        <w:rPr>
          <w:rFonts w:cstheme="minorHAnsi"/>
          <w:b/>
          <w:color w:val="000000" w:themeColor="text1"/>
          <w:sz w:val="24"/>
          <w:szCs w:val="24"/>
        </w:rPr>
        <w:t>Προοπτικές για το 2029</w:t>
      </w:r>
    </w:p>
    <w:p w14:paraId="11295CD2" w14:textId="77777777" w:rsidR="00301A2F" w:rsidRPr="00301A2F" w:rsidRDefault="00301A2F" w:rsidP="00301A2F">
      <w:pPr>
        <w:suppressAutoHyphens/>
        <w:spacing w:after="0" w:line="240" w:lineRule="auto"/>
        <w:jc w:val="both"/>
        <w:rPr>
          <w:rFonts w:cstheme="minorHAnsi"/>
          <w:b/>
          <w:color w:val="000000" w:themeColor="text1"/>
          <w:sz w:val="24"/>
          <w:szCs w:val="24"/>
        </w:rPr>
      </w:pPr>
    </w:p>
    <w:p w14:paraId="7ADAA0AE" w14:textId="77777777" w:rsidR="00301A2F" w:rsidRPr="00301A2F" w:rsidRDefault="00301A2F" w:rsidP="00301A2F">
      <w:pPr>
        <w:suppressAutoHyphens/>
        <w:spacing w:after="0" w:line="240" w:lineRule="auto"/>
        <w:jc w:val="both"/>
        <w:rPr>
          <w:rFonts w:cstheme="minorHAnsi"/>
          <w:b/>
          <w:color w:val="000000" w:themeColor="text1"/>
          <w:sz w:val="24"/>
          <w:szCs w:val="24"/>
        </w:rPr>
      </w:pPr>
      <w:r w:rsidRPr="00301A2F">
        <w:rPr>
          <w:rFonts w:cstheme="minorHAnsi"/>
          <w:b/>
          <w:color w:val="000000" w:themeColor="text1"/>
          <w:sz w:val="24"/>
          <w:szCs w:val="24"/>
        </w:rPr>
        <w:t>Η μελέτη προτείνει τέσσερις βασικούς άξονες για τη μελλοντική ανάπτυξη του κλάδου:</w:t>
      </w:r>
    </w:p>
    <w:p w14:paraId="30531C7D" w14:textId="77777777" w:rsidR="00301A2F" w:rsidRPr="00301A2F" w:rsidRDefault="00301A2F" w:rsidP="00301A2F">
      <w:pPr>
        <w:suppressAutoHyphens/>
        <w:spacing w:after="0" w:line="240" w:lineRule="auto"/>
        <w:jc w:val="both"/>
        <w:rPr>
          <w:rFonts w:cstheme="minorHAnsi"/>
          <w:b/>
          <w:color w:val="000000" w:themeColor="text1"/>
          <w:sz w:val="24"/>
          <w:szCs w:val="24"/>
        </w:rPr>
      </w:pPr>
    </w:p>
    <w:p w14:paraId="087BB27E" w14:textId="77777777" w:rsidR="00301A2F" w:rsidRDefault="00301A2F" w:rsidP="00301A2F">
      <w:pPr>
        <w:pStyle w:val="ListParagraph"/>
        <w:numPr>
          <w:ilvl w:val="0"/>
          <w:numId w:val="6"/>
        </w:numPr>
        <w:suppressAutoHyphens/>
        <w:spacing w:after="0" w:line="240" w:lineRule="auto"/>
        <w:jc w:val="both"/>
        <w:rPr>
          <w:rFonts w:cstheme="minorHAnsi"/>
          <w:b/>
          <w:color w:val="000000" w:themeColor="text1"/>
          <w:sz w:val="24"/>
          <w:szCs w:val="24"/>
        </w:rPr>
      </w:pPr>
      <w:r w:rsidRPr="00301A2F">
        <w:rPr>
          <w:rFonts w:cstheme="minorHAnsi"/>
          <w:b/>
          <w:color w:val="000000" w:themeColor="text1"/>
          <w:sz w:val="24"/>
          <w:szCs w:val="24"/>
        </w:rPr>
        <w:t xml:space="preserve">Διεθνοποίηση: Ενίσχυση των εξαγωγών και δημιουργία διεθνών κέντρων, όπως </w:t>
      </w:r>
      <w:proofErr w:type="spellStart"/>
      <w:r w:rsidRPr="00301A2F">
        <w:rPr>
          <w:rFonts w:cstheme="minorHAnsi"/>
          <w:b/>
          <w:color w:val="000000" w:themeColor="text1"/>
          <w:sz w:val="24"/>
          <w:szCs w:val="24"/>
        </w:rPr>
        <w:t>data</w:t>
      </w:r>
      <w:proofErr w:type="spellEnd"/>
      <w:r w:rsidRPr="00301A2F">
        <w:rPr>
          <w:rFonts w:cstheme="minorHAnsi"/>
          <w:b/>
          <w:color w:val="000000" w:themeColor="text1"/>
          <w:sz w:val="24"/>
          <w:szCs w:val="24"/>
        </w:rPr>
        <w:t xml:space="preserve"> </w:t>
      </w:r>
      <w:proofErr w:type="spellStart"/>
      <w:r w:rsidRPr="00301A2F">
        <w:rPr>
          <w:rFonts w:cstheme="minorHAnsi"/>
          <w:b/>
          <w:color w:val="000000" w:themeColor="text1"/>
          <w:sz w:val="24"/>
          <w:szCs w:val="24"/>
        </w:rPr>
        <w:t>centers</w:t>
      </w:r>
      <w:proofErr w:type="spellEnd"/>
      <w:r w:rsidRPr="00301A2F">
        <w:rPr>
          <w:rFonts w:cstheme="minorHAnsi"/>
          <w:b/>
          <w:color w:val="000000" w:themeColor="text1"/>
          <w:sz w:val="24"/>
          <w:szCs w:val="24"/>
        </w:rPr>
        <w:t>.</w:t>
      </w:r>
    </w:p>
    <w:p w14:paraId="69DEE6DE" w14:textId="77777777" w:rsidR="00301A2F" w:rsidRDefault="00301A2F" w:rsidP="00301A2F">
      <w:pPr>
        <w:pStyle w:val="ListParagraph"/>
        <w:numPr>
          <w:ilvl w:val="0"/>
          <w:numId w:val="6"/>
        </w:numPr>
        <w:suppressAutoHyphens/>
        <w:spacing w:after="0" w:line="240" w:lineRule="auto"/>
        <w:jc w:val="both"/>
        <w:rPr>
          <w:rFonts w:cstheme="minorHAnsi"/>
          <w:b/>
          <w:color w:val="000000" w:themeColor="text1"/>
          <w:sz w:val="24"/>
          <w:szCs w:val="24"/>
        </w:rPr>
      </w:pPr>
      <w:r w:rsidRPr="00301A2F">
        <w:rPr>
          <w:rFonts w:cstheme="minorHAnsi"/>
          <w:b/>
          <w:color w:val="000000" w:themeColor="text1"/>
          <w:sz w:val="24"/>
          <w:szCs w:val="24"/>
        </w:rPr>
        <w:t>Επένδυση στην Καινοτομία: Στήριξη της ανάπτυξης καινοτομικών λύσεων για εθνικές ανάγκες, όπως η κυβερνοασφάλεια και η άμυνα.</w:t>
      </w:r>
    </w:p>
    <w:p w14:paraId="761F29BD" w14:textId="77777777" w:rsidR="00301A2F" w:rsidRDefault="00301A2F" w:rsidP="00301A2F">
      <w:pPr>
        <w:pStyle w:val="ListParagraph"/>
        <w:numPr>
          <w:ilvl w:val="0"/>
          <w:numId w:val="6"/>
        </w:numPr>
        <w:suppressAutoHyphens/>
        <w:spacing w:after="0" w:line="240" w:lineRule="auto"/>
        <w:jc w:val="both"/>
        <w:rPr>
          <w:rFonts w:cstheme="minorHAnsi"/>
          <w:b/>
          <w:color w:val="000000" w:themeColor="text1"/>
          <w:sz w:val="24"/>
          <w:szCs w:val="24"/>
        </w:rPr>
      </w:pPr>
      <w:r w:rsidRPr="00301A2F">
        <w:rPr>
          <w:rFonts w:cstheme="minorHAnsi"/>
          <w:b/>
          <w:color w:val="000000" w:themeColor="text1"/>
          <w:sz w:val="24"/>
          <w:szCs w:val="24"/>
        </w:rPr>
        <w:t>Ανθρώπινο Δυναμικό: Προσέλκυση ταλέντου από το εξωτερικό και δημιουργία νέων μεταπτυχιακών προγραμμάτων στον τομέα των ΤΠΕ.</w:t>
      </w:r>
    </w:p>
    <w:p w14:paraId="6EF928C9" w14:textId="5D784BCC" w:rsidR="00301A2F" w:rsidRPr="00301A2F" w:rsidRDefault="00301A2F" w:rsidP="00301A2F">
      <w:pPr>
        <w:pStyle w:val="ListParagraph"/>
        <w:numPr>
          <w:ilvl w:val="0"/>
          <w:numId w:val="6"/>
        </w:numPr>
        <w:suppressAutoHyphens/>
        <w:spacing w:after="0" w:line="240" w:lineRule="auto"/>
        <w:jc w:val="both"/>
        <w:rPr>
          <w:rFonts w:cstheme="minorHAnsi"/>
          <w:b/>
          <w:color w:val="000000" w:themeColor="text1"/>
          <w:sz w:val="24"/>
          <w:szCs w:val="24"/>
        </w:rPr>
      </w:pPr>
      <w:r w:rsidRPr="00301A2F">
        <w:rPr>
          <w:rFonts w:cstheme="minorHAnsi"/>
          <w:b/>
          <w:color w:val="000000" w:themeColor="text1"/>
          <w:sz w:val="24"/>
          <w:szCs w:val="24"/>
        </w:rPr>
        <w:t xml:space="preserve">Ψηφιακή </w:t>
      </w:r>
      <w:r w:rsidR="007868FB">
        <w:rPr>
          <w:rFonts w:cstheme="minorHAnsi"/>
          <w:b/>
          <w:color w:val="000000" w:themeColor="text1"/>
          <w:sz w:val="24"/>
          <w:szCs w:val="24"/>
        </w:rPr>
        <w:t>Οικονομία</w:t>
      </w:r>
      <w:r w:rsidRPr="00301A2F">
        <w:rPr>
          <w:rFonts w:cstheme="minorHAnsi"/>
          <w:b/>
          <w:color w:val="000000" w:themeColor="text1"/>
          <w:sz w:val="24"/>
          <w:szCs w:val="24"/>
        </w:rPr>
        <w:t xml:space="preserve">: Καλλιέργεια μιας </w:t>
      </w:r>
      <w:r w:rsidR="00BB1911">
        <w:rPr>
          <w:rFonts w:cstheme="minorHAnsi"/>
          <w:b/>
          <w:color w:val="000000" w:themeColor="text1"/>
          <w:sz w:val="24"/>
          <w:szCs w:val="24"/>
        </w:rPr>
        <w:t xml:space="preserve">«ψηφιακής» </w:t>
      </w:r>
      <w:r w:rsidRPr="00301A2F">
        <w:rPr>
          <w:rFonts w:cstheme="minorHAnsi"/>
          <w:b/>
          <w:color w:val="000000" w:themeColor="text1"/>
          <w:sz w:val="24"/>
          <w:szCs w:val="24"/>
        </w:rPr>
        <w:t>κουλτούρας  με πλήρη ψηφιοποίηση του δημόσιου τομέα.</w:t>
      </w:r>
    </w:p>
    <w:p w14:paraId="679E88E0" w14:textId="77777777" w:rsidR="00301A2F" w:rsidRPr="00301A2F" w:rsidRDefault="00301A2F" w:rsidP="00301A2F">
      <w:pPr>
        <w:suppressAutoHyphens/>
        <w:spacing w:after="0" w:line="240" w:lineRule="auto"/>
        <w:jc w:val="both"/>
        <w:rPr>
          <w:rFonts w:cstheme="minorHAnsi"/>
          <w:b/>
          <w:color w:val="000000" w:themeColor="text1"/>
          <w:sz w:val="24"/>
          <w:szCs w:val="24"/>
        </w:rPr>
      </w:pPr>
    </w:p>
    <w:p w14:paraId="47F5DBE8" w14:textId="77777777" w:rsidR="00301A2F" w:rsidRPr="00301A2F" w:rsidRDefault="00301A2F" w:rsidP="00301A2F">
      <w:pPr>
        <w:suppressAutoHyphens/>
        <w:spacing w:after="0" w:line="240" w:lineRule="auto"/>
        <w:jc w:val="both"/>
        <w:rPr>
          <w:rFonts w:cstheme="minorHAnsi"/>
          <w:bCs/>
          <w:color w:val="000000" w:themeColor="text1"/>
          <w:sz w:val="24"/>
          <w:szCs w:val="24"/>
        </w:rPr>
      </w:pPr>
      <w:r w:rsidRPr="00301A2F">
        <w:rPr>
          <w:rFonts w:cstheme="minorHAnsi"/>
          <w:bCs/>
          <w:color w:val="000000" w:themeColor="text1"/>
          <w:sz w:val="24"/>
          <w:szCs w:val="24"/>
        </w:rPr>
        <w:t xml:space="preserve">Η μελέτη διαπιστώνει συνολικά ότι </w:t>
      </w:r>
      <w:bookmarkStart w:id="7" w:name="_Hlk185082496"/>
      <w:r w:rsidRPr="00301A2F">
        <w:rPr>
          <w:rFonts w:cstheme="minorHAnsi"/>
          <w:bCs/>
          <w:color w:val="000000" w:themeColor="text1"/>
          <w:sz w:val="24"/>
          <w:szCs w:val="24"/>
        </w:rPr>
        <w:t xml:space="preserve">η Ελλάδα έχει τις βάσεις για να μετατρέψει τον τομέα ΤΠΕ σε καταλύτη ανάπτυξης. Με στρατηγικές επενδύσεις, διεθνοποίηση και έμφαση στην καινοτομία, ο κλάδος μπορεί να συμβάλει αποφασιστικά στη μετάβαση της χώρας σε μια ψηφιακή και ανταγωνιστική οικονομία. Η πρόκληση έγκειται στην υπέρβαση των υφιστάμενων εμποδίων και στην αξιοποίηση των ευκαιριών που διαμορφώνονται. </w:t>
      </w:r>
    </w:p>
    <w:bookmarkEnd w:id="7"/>
    <w:p w14:paraId="3E0227A7" w14:textId="77777777" w:rsidR="00301A2F" w:rsidRPr="00301A2F" w:rsidRDefault="00301A2F" w:rsidP="00301A2F">
      <w:pPr>
        <w:suppressAutoHyphens/>
        <w:spacing w:after="0" w:line="240" w:lineRule="auto"/>
        <w:jc w:val="both"/>
        <w:rPr>
          <w:rFonts w:cstheme="minorHAnsi"/>
          <w:b/>
          <w:color w:val="000000" w:themeColor="text1"/>
          <w:sz w:val="24"/>
          <w:szCs w:val="24"/>
        </w:rPr>
      </w:pPr>
    </w:p>
    <w:p w14:paraId="21F316AE" w14:textId="77777777" w:rsidR="00301A2F" w:rsidRPr="00DD5771" w:rsidRDefault="00301A2F" w:rsidP="00301A2F">
      <w:pPr>
        <w:suppressAutoHyphens/>
        <w:spacing w:after="0" w:line="240" w:lineRule="auto"/>
        <w:jc w:val="both"/>
        <w:rPr>
          <w:rFonts w:ascii="Calibri" w:eastAsia="Calibri" w:hAnsi="Calibri" w:cs="Calibri"/>
          <w:color w:val="000000" w:themeColor="text1"/>
          <w:shd w:val="clear" w:color="auto" w:fill="FFFFFF"/>
        </w:rPr>
      </w:pPr>
      <w:r w:rsidRPr="00DD5771">
        <w:rPr>
          <w:rFonts w:ascii="Calibri" w:eastAsia="Calibri" w:hAnsi="Calibri" w:cs="Calibri"/>
          <w:color w:val="000000" w:themeColor="text1"/>
          <w:shd w:val="clear" w:color="auto" w:fill="FFFFFF"/>
        </w:rPr>
        <w:t xml:space="preserve">Περισσότερες πληροφορίες σχετικά με το </w:t>
      </w:r>
      <w:bookmarkStart w:id="8" w:name="_Hlk185080305"/>
      <w:r w:rsidRPr="00DD5771">
        <w:rPr>
          <w:rFonts w:ascii="Calibri" w:eastAsia="Calibri" w:hAnsi="Calibri" w:cs="Calibri"/>
          <w:b/>
          <w:bCs/>
          <w:i/>
          <w:iCs/>
          <w:color w:val="000000" w:themeColor="text1"/>
          <w:shd w:val="clear" w:color="auto" w:fill="FFFFFF"/>
          <w:lang w:val="en-US"/>
        </w:rPr>
        <w:t>digital</w:t>
      </w:r>
      <w:r w:rsidRPr="00DD5771">
        <w:rPr>
          <w:rFonts w:ascii="Calibri" w:eastAsia="Calibri" w:hAnsi="Calibri" w:cs="Calibri"/>
          <w:b/>
          <w:bCs/>
          <w:i/>
          <w:iCs/>
          <w:color w:val="000000" w:themeColor="text1"/>
          <w:shd w:val="clear" w:color="auto" w:fill="FFFFFF"/>
        </w:rPr>
        <w:t xml:space="preserve"> </w:t>
      </w:r>
      <w:r w:rsidRPr="00DD5771">
        <w:rPr>
          <w:rFonts w:ascii="Calibri" w:eastAsia="Calibri" w:hAnsi="Calibri" w:cs="Calibri"/>
          <w:b/>
          <w:bCs/>
          <w:i/>
          <w:iCs/>
          <w:color w:val="000000" w:themeColor="text1"/>
          <w:shd w:val="clear" w:color="auto" w:fill="FFFFFF"/>
          <w:lang w:val="en-US"/>
        </w:rPr>
        <w:t>economy</w:t>
      </w:r>
      <w:r w:rsidRPr="00DD5771">
        <w:rPr>
          <w:rFonts w:ascii="Calibri" w:eastAsia="Calibri" w:hAnsi="Calibri" w:cs="Calibri"/>
          <w:b/>
          <w:bCs/>
          <w:i/>
          <w:iCs/>
          <w:color w:val="000000" w:themeColor="text1"/>
          <w:shd w:val="clear" w:color="auto" w:fill="FFFFFF"/>
        </w:rPr>
        <w:t xml:space="preserve"> </w:t>
      </w:r>
      <w:r w:rsidRPr="00DD5771">
        <w:rPr>
          <w:rFonts w:ascii="Calibri" w:eastAsia="Calibri" w:hAnsi="Calibri" w:cs="Calibri"/>
          <w:b/>
          <w:bCs/>
          <w:i/>
          <w:iCs/>
          <w:color w:val="000000" w:themeColor="text1"/>
          <w:shd w:val="clear" w:color="auto" w:fill="FFFFFF"/>
          <w:lang w:val="en-US"/>
        </w:rPr>
        <w:t>forum</w:t>
      </w:r>
      <w:r w:rsidRPr="00DD5771">
        <w:rPr>
          <w:rFonts w:ascii="Calibri" w:eastAsia="Calibri" w:hAnsi="Calibri" w:cs="Calibri"/>
          <w:b/>
          <w:bCs/>
          <w:i/>
          <w:iCs/>
          <w:color w:val="000000" w:themeColor="text1"/>
          <w:shd w:val="clear" w:color="auto" w:fill="FFFFFF"/>
        </w:rPr>
        <w:t xml:space="preserve"> 2024: </w:t>
      </w:r>
      <w:r w:rsidRPr="00DD5771">
        <w:rPr>
          <w:rFonts w:ascii="Calibri" w:eastAsia="Calibri" w:hAnsi="Calibri" w:cs="Calibri"/>
          <w:b/>
          <w:bCs/>
          <w:i/>
          <w:iCs/>
          <w:color w:val="000000" w:themeColor="text1"/>
          <w:shd w:val="clear" w:color="auto" w:fill="FFFFFF"/>
          <w:lang w:val="en-US"/>
        </w:rPr>
        <w:t>Navigating</w:t>
      </w:r>
      <w:r w:rsidRPr="00DD5771">
        <w:rPr>
          <w:rFonts w:ascii="Calibri" w:eastAsia="Calibri" w:hAnsi="Calibri" w:cs="Calibri"/>
          <w:b/>
          <w:bCs/>
          <w:i/>
          <w:iCs/>
          <w:color w:val="000000" w:themeColor="text1"/>
          <w:shd w:val="clear" w:color="auto" w:fill="FFFFFF"/>
        </w:rPr>
        <w:t xml:space="preserve"> </w:t>
      </w:r>
      <w:r w:rsidRPr="00DD5771">
        <w:rPr>
          <w:rFonts w:ascii="Calibri" w:eastAsia="Calibri" w:hAnsi="Calibri" w:cs="Calibri"/>
          <w:b/>
          <w:bCs/>
          <w:i/>
          <w:iCs/>
          <w:color w:val="000000" w:themeColor="text1"/>
          <w:shd w:val="clear" w:color="auto" w:fill="FFFFFF"/>
          <w:lang w:val="en-US"/>
        </w:rPr>
        <w:t>the</w:t>
      </w:r>
      <w:r w:rsidRPr="00DD5771">
        <w:rPr>
          <w:rFonts w:ascii="Calibri" w:eastAsia="Calibri" w:hAnsi="Calibri" w:cs="Calibri"/>
          <w:b/>
          <w:bCs/>
          <w:i/>
          <w:iCs/>
          <w:color w:val="000000" w:themeColor="text1"/>
          <w:shd w:val="clear" w:color="auto" w:fill="FFFFFF"/>
        </w:rPr>
        <w:t xml:space="preserve"> </w:t>
      </w:r>
      <w:r w:rsidRPr="00DD5771">
        <w:rPr>
          <w:rFonts w:ascii="Calibri" w:eastAsia="Calibri" w:hAnsi="Calibri" w:cs="Calibri"/>
          <w:b/>
          <w:bCs/>
          <w:i/>
          <w:iCs/>
          <w:color w:val="000000" w:themeColor="text1"/>
          <w:shd w:val="clear" w:color="auto" w:fill="FFFFFF"/>
          <w:lang w:val="en-US"/>
        </w:rPr>
        <w:t>digital</w:t>
      </w:r>
      <w:r w:rsidRPr="00DD5771">
        <w:rPr>
          <w:rFonts w:ascii="Calibri" w:eastAsia="Calibri" w:hAnsi="Calibri" w:cs="Calibri"/>
          <w:b/>
          <w:bCs/>
          <w:i/>
          <w:iCs/>
          <w:color w:val="000000" w:themeColor="text1"/>
          <w:shd w:val="clear" w:color="auto" w:fill="FFFFFF"/>
        </w:rPr>
        <w:t xml:space="preserve"> </w:t>
      </w:r>
      <w:r w:rsidRPr="00DD5771">
        <w:rPr>
          <w:rFonts w:ascii="Calibri" w:eastAsia="Calibri" w:hAnsi="Calibri" w:cs="Calibri"/>
          <w:b/>
          <w:bCs/>
          <w:i/>
          <w:iCs/>
          <w:color w:val="000000" w:themeColor="text1"/>
          <w:shd w:val="clear" w:color="auto" w:fill="FFFFFF"/>
          <w:lang w:val="en-US"/>
        </w:rPr>
        <w:t>future</w:t>
      </w:r>
      <w:r w:rsidRPr="00DD5771">
        <w:rPr>
          <w:rFonts w:ascii="Calibri" w:eastAsia="Calibri" w:hAnsi="Calibri" w:cs="Calibri"/>
          <w:i/>
          <w:iCs/>
          <w:color w:val="000000" w:themeColor="text1"/>
          <w:shd w:val="clear" w:color="auto" w:fill="FFFFFF"/>
        </w:rPr>
        <w:t>,</w:t>
      </w:r>
      <w:r w:rsidRPr="00DD5771">
        <w:rPr>
          <w:rFonts w:ascii="Calibri" w:eastAsia="Calibri" w:hAnsi="Calibri" w:cs="Calibri"/>
          <w:color w:val="000000" w:themeColor="text1"/>
          <w:shd w:val="clear" w:color="auto" w:fill="FFFFFF"/>
        </w:rPr>
        <w:t xml:space="preserve"> </w:t>
      </w:r>
      <w:bookmarkEnd w:id="8"/>
      <w:r w:rsidRPr="00DD5771">
        <w:rPr>
          <w:rFonts w:ascii="Calibri" w:eastAsia="Calibri" w:hAnsi="Calibri" w:cs="Calibri"/>
          <w:color w:val="000000" w:themeColor="text1"/>
          <w:shd w:val="clear" w:color="auto" w:fill="FFFFFF"/>
        </w:rPr>
        <w:t xml:space="preserve">μπορείτε να αναζητήσετε στο </w:t>
      </w:r>
      <w:hyperlink r:id="rId10" w:history="1">
        <w:r w:rsidRPr="00DD5771">
          <w:rPr>
            <w:rFonts w:ascii="Calibri" w:eastAsia="Calibri" w:hAnsi="Calibri" w:cs="Calibri"/>
            <w:color w:val="0563C1" w:themeColor="hyperlink"/>
            <w:u w:val="single"/>
            <w:shd w:val="clear" w:color="auto" w:fill="FFFFFF"/>
          </w:rPr>
          <w:t>https://deforum.sepe.gr/</w:t>
        </w:r>
      </w:hyperlink>
      <w:r w:rsidRPr="00DD5771">
        <w:rPr>
          <w:rFonts w:ascii="Calibri" w:eastAsia="Calibri" w:hAnsi="Calibri" w:cs="Calibri"/>
          <w:color w:val="000000" w:themeColor="text1"/>
          <w:shd w:val="clear" w:color="auto" w:fill="FFFFFF"/>
        </w:rPr>
        <w:t xml:space="preserve"> </w:t>
      </w:r>
    </w:p>
    <w:p w14:paraId="05B9DC4B" w14:textId="77777777" w:rsidR="00301A2F" w:rsidRPr="00DD5771" w:rsidRDefault="00301A2F" w:rsidP="00301A2F">
      <w:pPr>
        <w:shd w:val="clear" w:color="auto" w:fill="FFFFFF"/>
        <w:spacing w:after="0" w:line="240" w:lineRule="auto"/>
        <w:jc w:val="both"/>
        <w:textAlignment w:val="baseline"/>
        <w:rPr>
          <w:rFonts w:ascii="Calibri" w:eastAsia="Times New Roman" w:hAnsi="Calibri" w:cs="Calibri"/>
          <w:b/>
          <w:bCs/>
          <w:color w:val="000000" w:themeColor="text1"/>
          <w:bdr w:val="none" w:sz="0" w:space="0" w:color="auto" w:frame="1"/>
          <w:lang w:eastAsia="el-GR"/>
        </w:rPr>
      </w:pPr>
    </w:p>
    <w:p w14:paraId="4644DCDF" w14:textId="77777777" w:rsidR="00301A2F" w:rsidRPr="00DD5771" w:rsidRDefault="00301A2F" w:rsidP="00301A2F">
      <w:pPr>
        <w:shd w:val="clear" w:color="auto" w:fill="FFFFFF"/>
        <w:spacing w:after="0" w:line="240" w:lineRule="auto"/>
        <w:jc w:val="both"/>
        <w:textAlignment w:val="baseline"/>
        <w:rPr>
          <w:rFonts w:ascii="Calibri" w:eastAsia="Times New Roman" w:hAnsi="Calibri" w:cs="Calibri"/>
          <w:b/>
          <w:bCs/>
          <w:color w:val="000000"/>
          <w:bdr w:val="none" w:sz="0" w:space="0" w:color="auto" w:frame="1"/>
          <w:lang w:val="en-US" w:eastAsia="el-GR"/>
        </w:rPr>
      </w:pPr>
      <w:r w:rsidRPr="00DD5771">
        <w:rPr>
          <w:rFonts w:ascii="Calibri" w:eastAsia="Times New Roman" w:hAnsi="Calibri" w:cs="Calibri"/>
          <w:b/>
          <w:bCs/>
          <w:color w:val="000000"/>
          <w:bdr w:val="none" w:sz="0" w:space="0" w:color="auto" w:frame="1"/>
          <w:lang w:eastAsia="el-GR"/>
        </w:rPr>
        <w:t>Χορηγοί</w:t>
      </w:r>
      <w:r w:rsidRPr="00DD5771">
        <w:rPr>
          <w:rFonts w:ascii="Calibri" w:eastAsia="Times New Roman" w:hAnsi="Calibri" w:cs="Calibri"/>
          <w:b/>
          <w:bCs/>
          <w:color w:val="000000"/>
          <w:bdr w:val="none" w:sz="0" w:space="0" w:color="auto" w:frame="1"/>
          <w:lang w:val="en-US" w:eastAsia="el-GR"/>
        </w:rPr>
        <w:t xml:space="preserve"> </w:t>
      </w:r>
      <w:r w:rsidRPr="00DD5771">
        <w:rPr>
          <w:rFonts w:ascii="Calibri" w:eastAsia="Calibri" w:hAnsi="Calibri" w:cs="Calibri"/>
          <w:b/>
          <w:bCs/>
          <w:color w:val="000000"/>
          <w:shd w:val="clear" w:color="auto" w:fill="FFFFFF"/>
          <w:lang w:val="en-US"/>
        </w:rPr>
        <w:t xml:space="preserve">digital economy forum 2024: </w:t>
      </w:r>
      <w:r w:rsidRPr="00DD5771">
        <w:rPr>
          <w:rFonts w:ascii="Calibri" w:eastAsia="Calibri" w:hAnsi="Calibri" w:cs="Calibri"/>
          <w:b/>
          <w:bCs/>
          <w:color w:val="000000"/>
          <w:shd w:val="clear" w:color="auto" w:fill="FFFFFF"/>
          <w:lang w:val="en-GB"/>
        </w:rPr>
        <w:t>Navigating the digital future</w:t>
      </w:r>
    </w:p>
    <w:p w14:paraId="5ADA369E" w14:textId="77777777" w:rsidR="00301A2F" w:rsidRPr="00DD5771" w:rsidRDefault="00301A2F" w:rsidP="00301A2F">
      <w:pPr>
        <w:spacing w:after="0" w:line="240" w:lineRule="auto"/>
        <w:rPr>
          <w:rFonts w:ascii="Calibri" w:eastAsia="Calibri" w:hAnsi="Calibri" w:cs="Times New Roman"/>
          <w:lang w:val="en-GB"/>
        </w:rPr>
      </w:pPr>
    </w:p>
    <w:p w14:paraId="006E42EA" w14:textId="77777777" w:rsidR="00301A2F" w:rsidRPr="00DD5771" w:rsidRDefault="00301A2F" w:rsidP="00301A2F">
      <w:pPr>
        <w:suppressAutoHyphens/>
        <w:spacing w:after="0" w:line="240" w:lineRule="auto"/>
        <w:jc w:val="both"/>
        <w:rPr>
          <w:rFonts w:ascii="Calibri" w:eastAsia="Calibri" w:hAnsi="Calibri" w:cs="Times New Roman"/>
          <w:b/>
          <w:bCs/>
          <w:lang w:val="en-US"/>
        </w:rPr>
      </w:pPr>
      <w:r w:rsidRPr="00DD5771">
        <w:rPr>
          <w:rFonts w:ascii="Calibri" w:eastAsia="Calibri" w:hAnsi="Calibri" w:cs="Times New Roman"/>
          <w:b/>
          <w:bCs/>
          <w:lang w:val="en-GB"/>
        </w:rPr>
        <w:t>Platinum: ATCOM, Byte,</w:t>
      </w:r>
      <w:r w:rsidRPr="00DD5771">
        <w:rPr>
          <w:rFonts w:ascii="Cambria" w:eastAsia="MS Mincho" w:hAnsi="Cambria" w:cs="Arial"/>
          <w:b/>
          <w:bCs/>
          <w:sz w:val="24"/>
          <w:szCs w:val="24"/>
          <w:lang w:val="en-US"/>
        </w:rPr>
        <w:t xml:space="preserve"> </w:t>
      </w:r>
      <w:r w:rsidRPr="00DD5771">
        <w:rPr>
          <w:rFonts w:ascii="Calibri" w:eastAsia="Calibri" w:hAnsi="Calibri" w:cs="Times New Roman"/>
          <w:b/>
          <w:bCs/>
          <w:lang w:val="en-GB"/>
        </w:rPr>
        <w:t>COSMOTE</w:t>
      </w:r>
      <w:r w:rsidRPr="00DD5771">
        <w:rPr>
          <w:rFonts w:ascii="Calibri" w:eastAsia="Calibri" w:hAnsi="Calibri" w:cs="Times New Roman"/>
          <w:b/>
          <w:bCs/>
          <w:lang w:val="en-US"/>
        </w:rPr>
        <w:t>,</w:t>
      </w:r>
      <w:r w:rsidRPr="00DD5771">
        <w:rPr>
          <w:rFonts w:ascii="Calibri" w:eastAsia="Calibri" w:hAnsi="Calibri" w:cs="Times New Roman"/>
          <w:b/>
          <w:bCs/>
          <w:lang w:val="en-GB"/>
        </w:rPr>
        <w:t xml:space="preserve"> Deloitte, FORTINET</w:t>
      </w:r>
      <w:r w:rsidRPr="00DD5771">
        <w:rPr>
          <w:rFonts w:ascii="Calibri" w:eastAsia="Calibri" w:hAnsi="Calibri" w:cs="Times New Roman"/>
          <w:b/>
          <w:bCs/>
          <w:lang w:val="en-US"/>
        </w:rPr>
        <w:t>, INTRACOM TELECOM</w:t>
      </w:r>
    </w:p>
    <w:p w14:paraId="2109B39F" w14:textId="77777777" w:rsidR="00301A2F" w:rsidRPr="00DD5771" w:rsidRDefault="00301A2F" w:rsidP="00301A2F">
      <w:pPr>
        <w:suppressAutoHyphens/>
        <w:spacing w:after="0" w:line="240" w:lineRule="auto"/>
        <w:jc w:val="both"/>
        <w:rPr>
          <w:rFonts w:ascii="Calibri" w:eastAsia="Calibri" w:hAnsi="Calibri" w:cs="Times New Roman"/>
          <w:b/>
          <w:bCs/>
          <w:lang w:val="en-GB"/>
        </w:rPr>
      </w:pPr>
    </w:p>
    <w:p w14:paraId="0C3C9F7A" w14:textId="77777777" w:rsidR="00301A2F" w:rsidRPr="00DD5771" w:rsidRDefault="00301A2F" w:rsidP="00301A2F">
      <w:pPr>
        <w:suppressAutoHyphens/>
        <w:spacing w:after="0" w:line="240" w:lineRule="auto"/>
        <w:jc w:val="both"/>
        <w:rPr>
          <w:rFonts w:ascii="Calibri" w:eastAsia="Calibri" w:hAnsi="Calibri" w:cs="Times New Roman"/>
          <w:b/>
          <w:bCs/>
          <w:lang w:val="en-GB"/>
        </w:rPr>
      </w:pPr>
      <w:r w:rsidRPr="00DD5771">
        <w:rPr>
          <w:rFonts w:ascii="Calibri" w:eastAsia="Calibri" w:hAnsi="Calibri" w:cs="Times New Roman"/>
          <w:b/>
          <w:bCs/>
          <w:lang w:val="en-GB"/>
        </w:rPr>
        <w:t xml:space="preserve">Gold: 01 SOLUTIONS Hellas, Active, CISCO, DBC </w:t>
      </w:r>
      <w:proofErr w:type="spellStart"/>
      <w:r w:rsidRPr="00DD5771">
        <w:rPr>
          <w:rFonts w:ascii="Calibri" w:eastAsia="Calibri" w:hAnsi="Calibri" w:cs="Times New Roman"/>
          <w:b/>
          <w:bCs/>
          <w:lang w:val="en-GB"/>
        </w:rPr>
        <w:t>diadikasia</w:t>
      </w:r>
      <w:proofErr w:type="spellEnd"/>
      <w:r w:rsidRPr="00DD5771">
        <w:rPr>
          <w:rFonts w:ascii="Calibri" w:eastAsia="Calibri" w:hAnsi="Calibri" w:cs="Times New Roman"/>
          <w:b/>
          <w:bCs/>
          <w:lang w:val="en-GB"/>
        </w:rPr>
        <w:t xml:space="preserve">, EPSILONNET, Hewlett Packard Enterprise-Infinitum, IBM, ΚΩΤΣΟΒΟΛΟΣ, </w:t>
      </w:r>
      <w:proofErr w:type="spellStart"/>
      <w:r w:rsidRPr="00DD5771">
        <w:rPr>
          <w:rFonts w:ascii="Calibri" w:eastAsia="Calibri" w:hAnsi="Calibri" w:cs="Times New Roman"/>
          <w:b/>
          <w:bCs/>
          <w:lang w:val="en-GB"/>
        </w:rPr>
        <w:t>kydryl</w:t>
      </w:r>
      <w:proofErr w:type="spellEnd"/>
      <w:r w:rsidRPr="00DD5771">
        <w:rPr>
          <w:rFonts w:ascii="Calibri" w:eastAsia="Calibri" w:hAnsi="Calibri" w:cs="Times New Roman"/>
          <w:b/>
          <w:bCs/>
          <w:lang w:val="en-GB"/>
        </w:rPr>
        <w:t xml:space="preserve">, Microsoft, </w:t>
      </w:r>
      <w:proofErr w:type="spellStart"/>
      <w:r w:rsidRPr="00DD5771">
        <w:rPr>
          <w:rFonts w:ascii="Calibri" w:eastAsia="Calibri" w:hAnsi="Calibri" w:cs="Times New Roman"/>
          <w:b/>
          <w:bCs/>
          <w:lang w:val="en-GB"/>
        </w:rPr>
        <w:t>netcompany-intrasoft</w:t>
      </w:r>
      <w:proofErr w:type="spellEnd"/>
      <w:r w:rsidRPr="00DD5771">
        <w:rPr>
          <w:rFonts w:ascii="Calibri" w:eastAsia="Calibri" w:hAnsi="Calibri" w:cs="Times New Roman"/>
          <w:b/>
          <w:bCs/>
          <w:lang w:val="en-GB"/>
        </w:rPr>
        <w:t>, NOVA, Profile Software, QUALITY &amp; RELIABILITY, SAMSUNG, SOFTONE, Space Hellas</w:t>
      </w:r>
    </w:p>
    <w:p w14:paraId="0CBEB998" w14:textId="77777777" w:rsidR="00301A2F" w:rsidRPr="00DD5771" w:rsidRDefault="00301A2F" w:rsidP="00301A2F">
      <w:pPr>
        <w:suppressAutoHyphens/>
        <w:spacing w:after="0" w:line="240" w:lineRule="auto"/>
        <w:jc w:val="both"/>
        <w:rPr>
          <w:rFonts w:ascii="Calibri" w:eastAsia="Calibri" w:hAnsi="Calibri" w:cs="Times New Roman"/>
          <w:b/>
          <w:bCs/>
          <w:lang w:val="en-GB"/>
        </w:rPr>
      </w:pPr>
    </w:p>
    <w:p w14:paraId="0BE2A2C6" w14:textId="77777777" w:rsidR="00301A2F" w:rsidRPr="00DD5771" w:rsidRDefault="00301A2F" w:rsidP="00301A2F">
      <w:pPr>
        <w:suppressAutoHyphens/>
        <w:spacing w:after="0" w:line="240" w:lineRule="auto"/>
        <w:jc w:val="both"/>
        <w:rPr>
          <w:rFonts w:ascii="Calibri" w:eastAsia="Calibri" w:hAnsi="Calibri" w:cs="Times New Roman"/>
          <w:b/>
          <w:bCs/>
          <w:lang w:val="en-GB"/>
        </w:rPr>
      </w:pPr>
      <w:r w:rsidRPr="00DD5771">
        <w:rPr>
          <w:rFonts w:ascii="Calibri" w:eastAsia="Calibri" w:hAnsi="Calibri" w:cs="Times New Roman"/>
          <w:b/>
          <w:bCs/>
          <w:lang w:val="en-GB"/>
        </w:rPr>
        <w:t xml:space="preserve">Silver: ADAPTIT, </w:t>
      </w:r>
      <w:proofErr w:type="spellStart"/>
      <w:r w:rsidRPr="00DD5771">
        <w:rPr>
          <w:rFonts w:ascii="Calibri" w:eastAsia="Calibri" w:hAnsi="Calibri" w:cs="Times New Roman"/>
          <w:b/>
          <w:bCs/>
          <w:lang w:val="en-GB"/>
        </w:rPr>
        <w:t>Όμιλος</w:t>
      </w:r>
      <w:proofErr w:type="spellEnd"/>
      <w:r w:rsidRPr="00DD5771">
        <w:rPr>
          <w:rFonts w:ascii="Calibri" w:eastAsia="Calibri" w:hAnsi="Calibri" w:cs="Times New Roman"/>
          <w:b/>
          <w:bCs/>
          <w:lang w:val="en-GB"/>
        </w:rPr>
        <w:t xml:space="preserve"> Επ</w:t>
      </w:r>
      <w:proofErr w:type="spellStart"/>
      <w:r w:rsidRPr="00DD5771">
        <w:rPr>
          <w:rFonts w:ascii="Calibri" w:eastAsia="Calibri" w:hAnsi="Calibri" w:cs="Times New Roman"/>
          <w:b/>
          <w:bCs/>
          <w:lang w:val="en-GB"/>
        </w:rPr>
        <w:t>ιχειρήσεων</w:t>
      </w:r>
      <w:proofErr w:type="spellEnd"/>
      <w:r w:rsidRPr="00DD5771">
        <w:rPr>
          <w:rFonts w:ascii="Calibri" w:eastAsia="Calibri" w:hAnsi="Calibri" w:cs="Times New Roman"/>
          <w:b/>
          <w:bCs/>
          <w:lang w:val="en-GB"/>
        </w:rPr>
        <w:t xml:space="preserve"> ΑΠΟΨΗ, DIGITAL REALTY, Google, HUAWEI, ORACLE, OTS, </w:t>
      </w:r>
      <w:r w:rsidRPr="00DD5771">
        <w:rPr>
          <w:rFonts w:ascii="Calibri" w:eastAsia="Calibri" w:hAnsi="Calibri" w:cs="Times New Roman"/>
          <w:b/>
          <w:bCs/>
        </w:rPr>
        <w:t>ΠΛΑΙΣΙΟ</w:t>
      </w:r>
      <w:r w:rsidRPr="00DD5771">
        <w:rPr>
          <w:rFonts w:ascii="Calibri" w:eastAsia="Calibri" w:hAnsi="Calibri" w:cs="Times New Roman"/>
          <w:b/>
          <w:bCs/>
          <w:lang w:val="en-US"/>
        </w:rPr>
        <w:t xml:space="preserve">, </w:t>
      </w:r>
      <w:r w:rsidRPr="00DD5771">
        <w:rPr>
          <w:rFonts w:ascii="Calibri" w:eastAsia="Calibri" w:hAnsi="Calibri" w:cs="Times New Roman"/>
          <w:b/>
          <w:bCs/>
          <w:lang w:val="en-GB"/>
        </w:rPr>
        <w:t>SPARKLE</w:t>
      </w:r>
    </w:p>
    <w:p w14:paraId="108B37A6" w14:textId="77777777" w:rsidR="00301A2F" w:rsidRPr="00DD5771" w:rsidRDefault="00301A2F" w:rsidP="00301A2F">
      <w:pPr>
        <w:suppressAutoHyphens/>
        <w:spacing w:after="0" w:line="240" w:lineRule="auto"/>
        <w:jc w:val="both"/>
        <w:rPr>
          <w:rFonts w:ascii="Calibri" w:eastAsia="Calibri" w:hAnsi="Calibri" w:cs="Times New Roman"/>
          <w:b/>
          <w:bCs/>
          <w:lang w:val="en-GB"/>
        </w:rPr>
      </w:pPr>
    </w:p>
    <w:p w14:paraId="47E28F7E" w14:textId="77777777" w:rsidR="00301A2F" w:rsidRPr="00DD5771" w:rsidRDefault="00301A2F" w:rsidP="00301A2F">
      <w:pPr>
        <w:suppressAutoHyphens/>
        <w:spacing w:after="0" w:line="240" w:lineRule="auto"/>
        <w:jc w:val="both"/>
        <w:rPr>
          <w:rFonts w:ascii="Calibri" w:eastAsia="Calibri" w:hAnsi="Calibri" w:cs="Times New Roman"/>
          <w:b/>
          <w:bCs/>
          <w:lang w:val="en-GB"/>
        </w:rPr>
      </w:pPr>
      <w:r w:rsidRPr="00DD5771">
        <w:rPr>
          <w:rFonts w:ascii="Calibri" w:eastAsia="Calibri" w:hAnsi="Calibri" w:cs="Times New Roman"/>
          <w:b/>
          <w:bCs/>
          <w:lang w:val="en-GB"/>
        </w:rPr>
        <w:t xml:space="preserve">Bronze: </w:t>
      </w:r>
      <w:proofErr w:type="spellStart"/>
      <w:r w:rsidRPr="00DD5771">
        <w:rPr>
          <w:rFonts w:ascii="Calibri" w:eastAsia="Calibri" w:hAnsi="Calibri" w:cs="Times New Roman"/>
          <w:b/>
          <w:bCs/>
          <w:lang w:val="en-GB"/>
        </w:rPr>
        <w:t>Όμιλος</w:t>
      </w:r>
      <w:proofErr w:type="spellEnd"/>
      <w:r w:rsidRPr="00DD5771">
        <w:rPr>
          <w:rFonts w:ascii="Calibri" w:eastAsia="Calibri" w:hAnsi="Calibri" w:cs="Times New Roman"/>
          <w:b/>
          <w:bCs/>
          <w:lang w:val="en-GB"/>
        </w:rPr>
        <w:t xml:space="preserve"> </w:t>
      </w:r>
      <w:proofErr w:type="spellStart"/>
      <w:r w:rsidRPr="00DD5771">
        <w:rPr>
          <w:rFonts w:ascii="Calibri" w:eastAsia="Calibri" w:hAnsi="Calibri" w:cs="Times New Roman"/>
          <w:b/>
          <w:bCs/>
          <w:lang w:val="en-GB"/>
        </w:rPr>
        <w:t>Χρημ</w:t>
      </w:r>
      <w:proofErr w:type="spellEnd"/>
      <w:r w:rsidRPr="00DD5771">
        <w:rPr>
          <w:rFonts w:ascii="Calibri" w:eastAsia="Calibri" w:hAnsi="Calibri" w:cs="Times New Roman"/>
          <w:b/>
          <w:bCs/>
          <w:lang w:val="en-GB"/>
        </w:rPr>
        <w:t xml:space="preserve">ατιστηρίου </w:t>
      </w:r>
      <w:proofErr w:type="spellStart"/>
      <w:r w:rsidRPr="00DD5771">
        <w:rPr>
          <w:rFonts w:ascii="Calibri" w:eastAsia="Calibri" w:hAnsi="Calibri" w:cs="Times New Roman"/>
          <w:b/>
          <w:bCs/>
          <w:lang w:val="en-GB"/>
        </w:rPr>
        <w:t>Αθηνών</w:t>
      </w:r>
      <w:proofErr w:type="spellEnd"/>
      <w:r w:rsidRPr="00DD5771">
        <w:rPr>
          <w:rFonts w:ascii="Calibri" w:eastAsia="Calibri" w:hAnsi="Calibri" w:cs="Times New Roman"/>
          <w:b/>
          <w:bCs/>
          <w:lang w:val="en-GB"/>
        </w:rPr>
        <w:t xml:space="preserve">, </w:t>
      </w:r>
      <w:r w:rsidRPr="00DD5771">
        <w:rPr>
          <w:rFonts w:ascii="Calibri" w:eastAsia="Calibri" w:hAnsi="Calibri" w:cs="Times New Roman"/>
          <w:b/>
          <w:bCs/>
          <w:lang w:val="en-US"/>
        </w:rPr>
        <w:t xml:space="preserve">collectives, </w:t>
      </w:r>
      <w:r w:rsidRPr="00DD5771">
        <w:rPr>
          <w:rFonts w:ascii="Calibri" w:eastAsia="Calibri" w:hAnsi="Calibri" w:cs="Times New Roman"/>
          <w:b/>
          <w:bCs/>
        </w:rPr>
        <w:t>ΙΚΗ</w:t>
      </w:r>
      <w:r w:rsidRPr="00DD5771">
        <w:rPr>
          <w:rFonts w:ascii="Calibri" w:eastAsia="Calibri" w:hAnsi="Calibri" w:cs="Times New Roman"/>
          <w:b/>
          <w:bCs/>
          <w:lang w:val="en-GB"/>
        </w:rPr>
        <w:t xml:space="preserve">, </w:t>
      </w:r>
      <w:proofErr w:type="spellStart"/>
      <w:r w:rsidRPr="00DD5771">
        <w:rPr>
          <w:rFonts w:ascii="Calibri" w:eastAsia="Calibri" w:hAnsi="Calibri" w:cs="Times New Roman"/>
          <w:b/>
          <w:bCs/>
          <w:lang w:val="en-GB"/>
        </w:rPr>
        <w:t>oktabit</w:t>
      </w:r>
      <w:proofErr w:type="spellEnd"/>
      <w:r w:rsidRPr="00DD5771">
        <w:rPr>
          <w:rFonts w:ascii="Calibri" w:eastAsia="Calibri" w:hAnsi="Calibri" w:cs="Times New Roman"/>
          <w:b/>
          <w:bCs/>
          <w:lang w:val="en-GB"/>
        </w:rPr>
        <w:t xml:space="preserve">, Real Consulting, SAP, </w:t>
      </w:r>
      <w:proofErr w:type="spellStart"/>
      <w:r w:rsidRPr="00DD5771">
        <w:rPr>
          <w:rFonts w:ascii="Calibri" w:eastAsia="Calibri" w:hAnsi="Calibri" w:cs="Times New Roman"/>
          <w:b/>
          <w:bCs/>
          <w:lang w:val="en-GB"/>
        </w:rPr>
        <w:t>vodafone</w:t>
      </w:r>
      <w:proofErr w:type="spellEnd"/>
    </w:p>
    <w:p w14:paraId="59A7AF19" w14:textId="77777777" w:rsidR="00301A2F" w:rsidRPr="00DD5771" w:rsidRDefault="00301A2F" w:rsidP="00301A2F">
      <w:pPr>
        <w:suppressAutoHyphens/>
        <w:spacing w:after="0" w:line="240" w:lineRule="auto"/>
        <w:jc w:val="both"/>
        <w:rPr>
          <w:rFonts w:ascii="Calibri" w:eastAsia="Calibri" w:hAnsi="Calibri" w:cs="Times New Roman"/>
          <w:b/>
          <w:bCs/>
          <w:lang w:val="en-GB"/>
        </w:rPr>
      </w:pPr>
    </w:p>
    <w:p w14:paraId="10F53DD5" w14:textId="77777777" w:rsidR="00301A2F" w:rsidRPr="00DD5771" w:rsidRDefault="00301A2F" w:rsidP="00301A2F">
      <w:pPr>
        <w:suppressAutoHyphens/>
        <w:spacing w:after="0" w:line="240" w:lineRule="auto"/>
        <w:jc w:val="both"/>
        <w:rPr>
          <w:rFonts w:ascii="Calibri" w:eastAsia="Calibri" w:hAnsi="Calibri" w:cs="Calibri"/>
          <w:color w:val="000000" w:themeColor="text1"/>
          <w:lang w:val="en-US"/>
        </w:rPr>
      </w:pPr>
      <w:r w:rsidRPr="00DD5771">
        <w:rPr>
          <w:rFonts w:ascii="Calibri" w:eastAsia="Calibri" w:hAnsi="Calibri" w:cs="Times New Roman"/>
          <w:b/>
          <w:bCs/>
          <w:lang w:val="en-GB"/>
        </w:rPr>
        <w:t xml:space="preserve">Media sponsors: </w:t>
      </w:r>
      <w:r w:rsidRPr="00DD5771">
        <w:rPr>
          <w:rFonts w:ascii="Calibri" w:eastAsia="Times New Roman" w:hAnsi="Calibri" w:cs="Calibri"/>
          <w:b/>
          <w:bCs/>
          <w:color w:val="000000" w:themeColor="text1"/>
          <w:bdr w:val="none" w:sz="0" w:space="0" w:color="auto" w:frame="1"/>
          <w:lang w:val="en-US" w:eastAsia="el-GR"/>
        </w:rPr>
        <w:t xml:space="preserve">TA NEA, ot.gr, ΑΘΗΝΑΪΚΟ ΠΡΑΚΤΟΡΕΙΟ ΕΙΔΗΣΕΩΝ-ΜΑΚΕΔΟΝΙΚΟ ΠΡΑΚΤΟΡΕΙΟ ΕΙΔΗΣΕΩΝ, </w:t>
      </w:r>
      <w:proofErr w:type="gramStart"/>
      <w:r w:rsidRPr="00DD5771">
        <w:rPr>
          <w:rFonts w:ascii="Calibri" w:eastAsia="Times New Roman" w:hAnsi="Calibri" w:cs="Calibri"/>
          <w:b/>
          <w:bCs/>
          <w:color w:val="000000" w:themeColor="text1"/>
          <w:bdr w:val="none" w:sz="0" w:space="0" w:color="auto" w:frame="1"/>
          <w:lang w:val="en-US" w:eastAsia="el-GR"/>
        </w:rPr>
        <w:t>BIZNOW!,</w:t>
      </w:r>
      <w:proofErr w:type="gramEnd"/>
      <w:r w:rsidRPr="00DD5771">
        <w:rPr>
          <w:rFonts w:ascii="Calibri" w:eastAsia="Times New Roman" w:hAnsi="Calibri" w:cs="Calibri"/>
          <w:b/>
          <w:bCs/>
          <w:color w:val="000000" w:themeColor="text1"/>
          <w:bdr w:val="none" w:sz="0" w:space="0" w:color="auto" w:frame="1"/>
          <w:lang w:val="en-US" w:eastAsia="el-GR"/>
        </w:rPr>
        <w:t xml:space="preserve"> DAILY FAX, e-</w:t>
      </w:r>
      <w:proofErr w:type="spellStart"/>
      <w:r w:rsidRPr="00DD5771">
        <w:rPr>
          <w:rFonts w:ascii="Calibri" w:eastAsia="Times New Roman" w:hAnsi="Calibri" w:cs="Calibri"/>
          <w:b/>
          <w:bCs/>
          <w:color w:val="000000" w:themeColor="text1"/>
          <w:bdr w:val="none" w:sz="0" w:space="0" w:color="auto" w:frame="1"/>
          <w:lang w:val="en-US" w:eastAsia="el-GR"/>
        </w:rPr>
        <w:t>forologia</w:t>
      </w:r>
      <w:proofErr w:type="spellEnd"/>
      <w:r w:rsidRPr="00DD5771">
        <w:rPr>
          <w:rFonts w:ascii="Calibri" w:eastAsia="Times New Roman" w:hAnsi="Calibri" w:cs="Calibri"/>
          <w:b/>
          <w:bCs/>
          <w:color w:val="000000" w:themeColor="text1"/>
          <w:bdr w:val="none" w:sz="0" w:space="0" w:color="auto" w:frame="1"/>
          <w:lang w:val="en-US" w:eastAsia="el-GR"/>
        </w:rPr>
        <w:t xml:space="preserve">, </w:t>
      </w:r>
      <w:proofErr w:type="spellStart"/>
      <w:r w:rsidRPr="00DD5771">
        <w:rPr>
          <w:rFonts w:ascii="Calibri" w:eastAsia="Times New Roman" w:hAnsi="Calibri" w:cs="Calibri"/>
          <w:b/>
          <w:bCs/>
          <w:color w:val="000000" w:themeColor="text1"/>
          <w:bdr w:val="none" w:sz="0" w:space="0" w:color="auto" w:frame="1"/>
          <w:lang w:val="en-US" w:eastAsia="el-GR"/>
        </w:rPr>
        <w:t>ICTplus</w:t>
      </w:r>
      <w:proofErr w:type="spellEnd"/>
      <w:r w:rsidRPr="00DD5771">
        <w:rPr>
          <w:rFonts w:ascii="Calibri" w:eastAsia="Times New Roman" w:hAnsi="Calibri" w:cs="Calibri"/>
          <w:b/>
          <w:bCs/>
          <w:color w:val="000000" w:themeColor="text1"/>
          <w:bdr w:val="none" w:sz="0" w:space="0" w:color="auto" w:frame="1"/>
          <w:lang w:val="en-US" w:eastAsia="el-GR"/>
        </w:rPr>
        <w:t>,</w:t>
      </w:r>
      <w:r w:rsidRPr="00DD5771">
        <w:rPr>
          <w:rFonts w:ascii="Calibri" w:eastAsia="Calibri" w:hAnsi="Calibri" w:cs="Times New Roman"/>
          <w:lang w:val="en-US"/>
        </w:rPr>
        <w:t xml:space="preserve"> </w:t>
      </w:r>
      <w:proofErr w:type="spellStart"/>
      <w:r w:rsidRPr="00DD5771">
        <w:rPr>
          <w:rFonts w:ascii="Calibri" w:eastAsia="Times New Roman" w:hAnsi="Calibri" w:cs="Calibri"/>
          <w:b/>
          <w:bCs/>
          <w:color w:val="000000" w:themeColor="text1"/>
          <w:bdr w:val="none" w:sz="0" w:space="0" w:color="auto" w:frame="1"/>
          <w:lang w:val="en-US" w:eastAsia="el-GR"/>
        </w:rPr>
        <w:t>infocom</w:t>
      </w:r>
      <w:proofErr w:type="spellEnd"/>
      <w:r w:rsidRPr="00DD5771">
        <w:rPr>
          <w:rFonts w:ascii="Calibri" w:eastAsia="Times New Roman" w:hAnsi="Calibri" w:cs="Calibri"/>
          <w:b/>
          <w:bCs/>
          <w:color w:val="000000" w:themeColor="text1"/>
          <w:bdr w:val="none" w:sz="0" w:space="0" w:color="auto" w:frame="1"/>
          <w:lang w:val="en-US" w:eastAsia="el-GR"/>
        </w:rPr>
        <w:t xml:space="preserve">, interestingpeople.gr, Marketing Week, Net Fax, netweek.gr, </w:t>
      </w:r>
      <w:proofErr w:type="spellStart"/>
      <w:r w:rsidRPr="00DD5771">
        <w:rPr>
          <w:rFonts w:ascii="Calibri" w:eastAsia="Times New Roman" w:hAnsi="Calibri" w:cs="Calibri"/>
          <w:b/>
          <w:bCs/>
          <w:color w:val="000000" w:themeColor="text1"/>
          <w:bdr w:val="none" w:sz="0" w:space="0" w:color="auto" w:frame="1"/>
          <w:lang w:val="en-US" w:eastAsia="el-GR"/>
        </w:rPr>
        <w:t>palowise</w:t>
      </w:r>
      <w:proofErr w:type="spellEnd"/>
      <w:r w:rsidRPr="00DD5771">
        <w:rPr>
          <w:rFonts w:ascii="Calibri" w:eastAsia="Times New Roman" w:hAnsi="Calibri" w:cs="Calibri"/>
          <w:b/>
          <w:bCs/>
          <w:color w:val="000000" w:themeColor="text1"/>
          <w:bdr w:val="none" w:sz="0" w:space="0" w:color="auto" w:frame="1"/>
          <w:lang w:val="en-US" w:eastAsia="el-GR"/>
        </w:rPr>
        <w:t>, techblog.gr, techpress.gr</w:t>
      </w:r>
    </w:p>
    <w:p w14:paraId="2B51CF80" w14:textId="77777777" w:rsidR="00301A2F" w:rsidRPr="006F2A45" w:rsidRDefault="00301A2F" w:rsidP="00301A2F">
      <w:pPr>
        <w:spacing w:line="256" w:lineRule="auto"/>
        <w:rPr>
          <w:rFonts w:ascii="Calibri" w:eastAsia="Calibri" w:hAnsi="Calibri" w:cs="Arial"/>
          <w:b/>
          <w:bCs/>
          <w:kern w:val="2"/>
          <w:lang w:val="en-GB"/>
          <w14:ligatures w14:val="standardContextual"/>
        </w:rPr>
      </w:pPr>
    </w:p>
    <w:p w14:paraId="7C922109" w14:textId="77777777" w:rsidR="00301A2F" w:rsidRPr="00DD5771" w:rsidRDefault="00301A2F" w:rsidP="00301A2F">
      <w:pPr>
        <w:widowControl w:val="0"/>
        <w:autoSpaceDE w:val="0"/>
        <w:autoSpaceDN w:val="0"/>
        <w:adjustRightInd w:val="0"/>
        <w:spacing w:after="0" w:line="240" w:lineRule="auto"/>
        <w:jc w:val="both"/>
        <w:rPr>
          <w:rFonts w:ascii="Cambria" w:eastAsia="MS Mincho" w:hAnsi="Cambria" w:cs="Calibri"/>
          <w:lang w:val="en-GB"/>
        </w:rPr>
      </w:pPr>
    </w:p>
    <w:p w14:paraId="0D0A57AD" w14:textId="77777777" w:rsidR="00301A2F" w:rsidRPr="00DD5771" w:rsidRDefault="00301A2F" w:rsidP="00301A2F">
      <w:pPr>
        <w:widowControl w:val="0"/>
        <w:autoSpaceDE w:val="0"/>
        <w:autoSpaceDN w:val="0"/>
        <w:adjustRightInd w:val="0"/>
        <w:spacing w:after="0" w:line="240" w:lineRule="auto"/>
        <w:jc w:val="both"/>
        <w:rPr>
          <w:rFonts w:ascii="Cambria" w:eastAsia="MS Mincho" w:hAnsi="Cambria" w:cs="Calibri"/>
          <w:lang w:val="en-GB"/>
        </w:rPr>
      </w:pPr>
    </w:p>
    <w:p w14:paraId="60D22FA2" w14:textId="77777777" w:rsidR="00301A2F" w:rsidRPr="00DD5771" w:rsidRDefault="00301A2F" w:rsidP="00301A2F">
      <w:pPr>
        <w:pBdr>
          <w:bottom w:val="single" w:sz="4" w:space="1" w:color="auto"/>
        </w:pBdr>
        <w:spacing w:after="0" w:line="240" w:lineRule="auto"/>
        <w:jc w:val="center"/>
        <w:rPr>
          <w:rFonts w:ascii="Cambria" w:eastAsia="Calibri" w:hAnsi="Cambria" w:cs="Calibri"/>
        </w:rPr>
      </w:pPr>
      <w:r w:rsidRPr="00DD5771">
        <w:rPr>
          <w:rFonts w:ascii="Cambria" w:eastAsia="Calibri" w:hAnsi="Cambria" w:cs="Calibri"/>
        </w:rPr>
        <w:t>###</w:t>
      </w:r>
    </w:p>
    <w:p w14:paraId="7A7A44FF" w14:textId="77777777" w:rsidR="00301A2F" w:rsidRPr="00DD5771" w:rsidRDefault="00301A2F" w:rsidP="00301A2F">
      <w:pPr>
        <w:widowControl w:val="0"/>
        <w:suppressAutoHyphens/>
        <w:overflowPunct w:val="0"/>
        <w:autoSpaceDE w:val="0"/>
        <w:autoSpaceDN w:val="0"/>
        <w:spacing w:after="0" w:line="240" w:lineRule="auto"/>
        <w:jc w:val="both"/>
        <w:textAlignment w:val="baseline"/>
        <w:rPr>
          <w:rFonts w:ascii="Calibri" w:eastAsia="Times New Roman" w:hAnsi="Calibri" w:cs="Calibri"/>
          <w:kern w:val="3"/>
          <w:sz w:val="20"/>
          <w:szCs w:val="20"/>
          <w:lang w:eastAsia="el-GR"/>
        </w:rPr>
      </w:pPr>
      <w:r w:rsidRPr="00DD5771">
        <w:rPr>
          <w:rFonts w:ascii="Calibri" w:eastAsia="Times New Roman" w:hAnsi="Calibri" w:cs="Calibri"/>
          <w:kern w:val="3"/>
          <w:sz w:val="20"/>
          <w:szCs w:val="20"/>
          <w:lang w:eastAsia="el-GR"/>
        </w:rPr>
        <w:t>Ο Σύνδεσμος Επιχειρήσεων Πληροφορικής &amp; Επικοινωνιών Ελλάδας ιδρύθηκε το Φεβρουάριο του 1995. Ο ΣΕΠΕ, ως θεσμικός συνομιλητής και εταίρος της πολιτείας, παρέχει έγκυρη και υπεύθυνη γνωμοδότηση για τη βέλτιστη αξιοποίηση της χρήσης των Τεχνολογιών Πληροφορικής και Επικοινωνιών, με στόχο την ανάπτυξη της ελληνικής κοινωνίας και οικονομίας.</w:t>
      </w:r>
    </w:p>
    <w:p w14:paraId="3FB5E119" w14:textId="77777777" w:rsidR="00301A2F" w:rsidRPr="00DD5771" w:rsidRDefault="00301A2F" w:rsidP="00301A2F">
      <w:pPr>
        <w:widowControl w:val="0"/>
        <w:suppressAutoHyphens/>
        <w:overflowPunct w:val="0"/>
        <w:autoSpaceDE w:val="0"/>
        <w:autoSpaceDN w:val="0"/>
        <w:spacing w:after="0" w:line="240" w:lineRule="auto"/>
        <w:jc w:val="both"/>
        <w:textAlignment w:val="baseline"/>
        <w:rPr>
          <w:rFonts w:ascii="Calibri" w:eastAsia="Times New Roman" w:hAnsi="Calibri" w:cs="Calibri"/>
          <w:kern w:val="3"/>
          <w:sz w:val="20"/>
          <w:szCs w:val="20"/>
          <w:lang w:eastAsia="el-GR"/>
        </w:rPr>
      </w:pPr>
      <w:r w:rsidRPr="00DD5771">
        <w:rPr>
          <w:rFonts w:ascii="Calibri" w:eastAsia="Times New Roman" w:hAnsi="Calibri" w:cs="Calibri"/>
          <w:kern w:val="3"/>
          <w:sz w:val="20"/>
          <w:szCs w:val="20"/>
          <w:lang w:eastAsia="el-GR"/>
        </w:rPr>
        <w:t>Τα μέλη του ΣΕΠΕ είναι επιχειρήσεις του κλάδου Ψηφιακής Τεχνολογίας απ’ όλη την Ελλάδα, οι οποίες παρέχουν εργασία σε περισσότερους από 100.000 εργαζομένους και εκπροσωπούν περίπου το 95% του συνολικού κύκλου εργασιών της εγχώριας αγοράς, ποσοστό το οποίο αντιστοιχεί στο 8% του ΑΕΠ.</w:t>
      </w:r>
    </w:p>
    <w:p w14:paraId="3F895CAA" w14:textId="77777777" w:rsidR="00301A2F" w:rsidRPr="00DD5771" w:rsidRDefault="00301A2F" w:rsidP="00301A2F">
      <w:pPr>
        <w:widowControl w:val="0"/>
        <w:suppressAutoHyphens/>
        <w:overflowPunct w:val="0"/>
        <w:autoSpaceDE w:val="0"/>
        <w:autoSpaceDN w:val="0"/>
        <w:spacing w:after="0" w:line="240" w:lineRule="auto"/>
        <w:jc w:val="both"/>
        <w:textAlignment w:val="baseline"/>
        <w:rPr>
          <w:rFonts w:ascii="Calibri" w:eastAsia="Times New Roman" w:hAnsi="Calibri" w:cs="Calibri"/>
          <w:kern w:val="3"/>
          <w:sz w:val="20"/>
          <w:szCs w:val="20"/>
          <w:lang w:eastAsia="el-GR"/>
        </w:rPr>
      </w:pPr>
      <w:r w:rsidRPr="00DD5771">
        <w:rPr>
          <w:rFonts w:ascii="Calibri" w:eastAsia="Times New Roman" w:hAnsi="Calibri" w:cs="Calibri"/>
          <w:kern w:val="3"/>
          <w:sz w:val="20"/>
          <w:szCs w:val="20"/>
          <w:lang w:eastAsia="el-GR"/>
        </w:rPr>
        <w:t>Ο ΣΕΠΕ είναι μέλος του Ευρωπαϊκού Συνδέσμου Βιομηχανίας Ψηφιακής Τεχνολογίας (</w:t>
      </w:r>
      <w:r w:rsidRPr="00DD5771">
        <w:rPr>
          <w:rFonts w:ascii="Calibri" w:eastAsia="Times New Roman" w:hAnsi="Calibri" w:cs="Calibri"/>
          <w:kern w:val="3"/>
          <w:sz w:val="20"/>
          <w:szCs w:val="20"/>
          <w:lang w:val="en-US" w:eastAsia="el-GR"/>
        </w:rPr>
        <w:t>DIGITALEUROPE</w:t>
      </w:r>
      <w:r w:rsidRPr="00DD5771">
        <w:rPr>
          <w:rFonts w:ascii="Calibri" w:eastAsia="Times New Roman" w:hAnsi="Calibri" w:cs="Calibri"/>
          <w:kern w:val="3"/>
          <w:sz w:val="20"/>
          <w:szCs w:val="20"/>
          <w:lang w:eastAsia="el-GR"/>
        </w:rPr>
        <w:t>) και του Παγκοσμίου Συνδέσμου Υπηρεσιών Καινοτομίας και Τεχνολογίας (</w:t>
      </w:r>
      <w:r w:rsidRPr="00DD5771">
        <w:rPr>
          <w:rFonts w:ascii="Calibri" w:eastAsia="Times New Roman" w:hAnsi="Calibri" w:cs="Calibri"/>
          <w:kern w:val="3"/>
          <w:sz w:val="20"/>
          <w:szCs w:val="20"/>
          <w:lang w:val="en-US" w:eastAsia="el-GR"/>
        </w:rPr>
        <w:t>WITSA</w:t>
      </w:r>
      <w:r w:rsidRPr="00DD5771">
        <w:rPr>
          <w:rFonts w:ascii="Calibri" w:eastAsia="Times New Roman" w:hAnsi="Calibri" w:cs="Calibri"/>
          <w:kern w:val="3"/>
          <w:sz w:val="20"/>
          <w:szCs w:val="20"/>
          <w:lang w:eastAsia="el-GR"/>
        </w:rPr>
        <w:t>).</w:t>
      </w:r>
    </w:p>
    <w:p w14:paraId="13B4C4C5" w14:textId="77777777" w:rsidR="00301A2F" w:rsidRPr="00DD5771" w:rsidRDefault="00301A2F" w:rsidP="00301A2F">
      <w:pPr>
        <w:widowControl w:val="0"/>
        <w:suppressAutoHyphens/>
        <w:overflowPunct w:val="0"/>
        <w:autoSpaceDE w:val="0"/>
        <w:autoSpaceDN w:val="0"/>
        <w:spacing w:after="0" w:line="240" w:lineRule="auto"/>
        <w:jc w:val="both"/>
        <w:textAlignment w:val="baseline"/>
        <w:rPr>
          <w:rFonts w:ascii="Calibri" w:eastAsia="Times New Roman" w:hAnsi="Calibri" w:cs="Calibri"/>
          <w:kern w:val="3"/>
          <w:sz w:val="20"/>
          <w:szCs w:val="20"/>
          <w:lang w:eastAsia="el-GR"/>
        </w:rPr>
      </w:pPr>
    </w:p>
    <w:p w14:paraId="18ED7955" w14:textId="77777777" w:rsidR="00301A2F" w:rsidRPr="007B4B94" w:rsidRDefault="00301A2F" w:rsidP="00301A2F">
      <w:pPr>
        <w:suppressAutoHyphens/>
        <w:spacing w:after="0" w:line="240" w:lineRule="auto"/>
        <w:jc w:val="both"/>
        <w:rPr>
          <w:rFonts w:cs="Arial"/>
          <w:b/>
          <w:bCs/>
          <w:color w:val="3A3A3A"/>
          <w:bdr w:val="none" w:sz="0" w:space="0" w:color="auto" w:frame="1"/>
          <w:shd w:val="clear" w:color="auto" w:fill="FFFFFF"/>
        </w:rPr>
      </w:pPr>
    </w:p>
    <w:p w14:paraId="69547B75" w14:textId="77777777" w:rsidR="00301A2F" w:rsidRPr="007B4B94" w:rsidRDefault="00301A2F" w:rsidP="00301A2F">
      <w:pPr>
        <w:widowControl w:val="0"/>
        <w:suppressAutoHyphens/>
        <w:overflowPunct w:val="0"/>
        <w:autoSpaceDE w:val="0"/>
        <w:autoSpaceDN w:val="0"/>
        <w:spacing w:after="0" w:line="240" w:lineRule="auto"/>
        <w:jc w:val="both"/>
        <w:textAlignment w:val="baseline"/>
        <w:rPr>
          <w:rFonts w:cs="Arial"/>
          <w:b/>
          <w:bCs/>
          <w:color w:val="3A3A3A"/>
          <w:bdr w:val="none" w:sz="0" w:space="0" w:color="auto" w:frame="1"/>
          <w:shd w:val="clear" w:color="auto" w:fill="FFFFFF"/>
        </w:rPr>
      </w:pPr>
    </w:p>
    <w:p w14:paraId="4D40345F" w14:textId="70512015" w:rsidR="007B4B94" w:rsidRPr="007B4B94" w:rsidRDefault="007B4B94" w:rsidP="00342A00">
      <w:pPr>
        <w:suppressAutoHyphens/>
        <w:spacing w:after="0" w:line="240" w:lineRule="auto"/>
        <w:jc w:val="both"/>
        <w:rPr>
          <w:rFonts w:cs="Arial"/>
          <w:b/>
          <w:bCs/>
          <w:color w:val="3A3A3A"/>
          <w:bdr w:val="none" w:sz="0" w:space="0" w:color="auto" w:frame="1"/>
          <w:shd w:val="clear" w:color="auto" w:fill="FFFFFF"/>
        </w:rPr>
      </w:pPr>
    </w:p>
    <w:sectPr w:rsidR="007B4B94" w:rsidRPr="007B4B94" w:rsidSect="00AB3B39">
      <w:headerReference w:type="default" r:id="rId11"/>
      <w:headerReference w:type="first" r:id="rId12"/>
      <w:foot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073A3" w14:textId="77777777" w:rsidR="00C6188E" w:rsidRDefault="00C6188E" w:rsidP="00A91118">
      <w:pPr>
        <w:spacing w:after="0" w:line="240" w:lineRule="auto"/>
      </w:pPr>
      <w:r>
        <w:separator/>
      </w:r>
    </w:p>
  </w:endnote>
  <w:endnote w:type="continuationSeparator" w:id="0">
    <w:p w14:paraId="710ABA58" w14:textId="77777777" w:rsidR="00C6188E" w:rsidRDefault="00C6188E" w:rsidP="00A9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F Catalog Light">
    <w:altName w:val="Corbel"/>
    <w:panose1 w:val="02000403040000020004"/>
    <w:charset w:val="00"/>
    <w:family w:val="modern"/>
    <w:notTrueType/>
    <w:pitch w:val="variable"/>
    <w:sig w:usb0="8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4FEA2" w14:textId="0E094786" w:rsidR="00ED0B32" w:rsidRDefault="00ED0B32">
    <w:pPr>
      <w:pStyle w:val="Footer"/>
    </w:pPr>
    <w:r>
      <w:rPr>
        <w:noProof/>
        <w:lang w:val="en-US"/>
      </w:rPr>
      <w:drawing>
        <wp:inline distT="0" distB="0" distL="0" distR="0" wp14:anchorId="15099BC6" wp14:editId="1F6D38EB">
          <wp:extent cx="6120130" cy="13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97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7215F" w14:textId="77777777" w:rsidR="00C6188E" w:rsidRDefault="00C6188E" w:rsidP="00A91118">
      <w:pPr>
        <w:spacing w:after="0" w:line="240" w:lineRule="auto"/>
      </w:pPr>
      <w:r>
        <w:separator/>
      </w:r>
    </w:p>
  </w:footnote>
  <w:footnote w:type="continuationSeparator" w:id="0">
    <w:p w14:paraId="365F9AEE" w14:textId="77777777" w:rsidR="00C6188E" w:rsidRDefault="00C6188E" w:rsidP="00A91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89991" w14:textId="2B8D81D6" w:rsidR="00A91118" w:rsidRPr="00ED0B32" w:rsidRDefault="00D67894">
    <w:pPr>
      <w:pStyle w:val="Header"/>
      <w:rPr>
        <w:sz w:val="20"/>
        <w:szCs w:val="20"/>
      </w:rPr>
    </w:pPr>
    <w:r>
      <w:rPr>
        <w:rFonts w:ascii="PF Catalog Light" w:hAnsi="PF Catalog Light"/>
        <w:b/>
        <w:noProof/>
        <w:color w:val="7F7F7F"/>
        <w:sz w:val="2"/>
        <w:szCs w:val="2"/>
        <w:lang w:val="en-US"/>
      </w:rPr>
      <w:drawing>
        <wp:inline distT="0" distB="0" distL="0" distR="0" wp14:anchorId="6946E089" wp14:editId="17EB6852">
          <wp:extent cx="1830126" cy="468000"/>
          <wp:effectExtent l="0" t="0" r="0" b="8255"/>
          <wp:docPr id="3" name="Picture 43" descr="sepe_log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epe_logo2011"/>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2480"/>
                  <a:stretch>
                    <a:fillRect/>
                  </a:stretch>
                </pic:blipFill>
                <pic:spPr bwMode="auto">
                  <a:xfrm>
                    <a:off x="0" y="0"/>
                    <a:ext cx="1830126" cy="468000"/>
                  </a:xfrm>
                  <a:prstGeom prst="rect">
                    <a:avLst/>
                  </a:prstGeom>
                  <a:noFill/>
                  <a:ln>
                    <a:noFill/>
                  </a:ln>
                </pic:spPr>
              </pic:pic>
            </a:graphicData>
          </a:graphic>
        </wp:inline>
      </w:drawing>
    </w:r>
    <w:r w:rsidR="004B3337">
      <w:rPr>
        <w:sz w:val="20"/>
        <w:szCs w:val="20"/>
      </w:rPr>
      <w:t xml:space="preserve">                                                                            </w:t>
    </w:r>
    <w:r w:rsidR="004B3337">
      <w:rPr>
        <w:noProof/>
      </w:rPr>
      <w:drawing>
        <wp:inline distT="0" distB="0" distL="0" distR="0" wp14:anchorId="1A123804" wp14:editId="47FBB5B6">
          <wp:extent cx="1645920" cy="316865"/>
          <wp:effectExtent l="0" t="0" r="0" b="6985"/>
          <wp:docPr id="1780169936" name="Εικόνα 1780169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5920" cy="316865"/>
                  </a:xfrm>
                  <a:prstGeom prst="rect">
                    <a:avLst/>
                  </a:prstGeom>
                  <a:noFill/>
                </pic:spPr>
              </pic:pic>
            </a:graphicData>
          </a:graphic>
        </wp:inline>
      </w:drawing>
    </w:r>
  </w:p>
  <w:p w14:paraId="3658374D" w14:textId="77777777" w:rsidR="00A91118" w:rsidRPr="00ED0B32" w:rsidRDefault="00A91118" w:rsidP="00A91118">
    <w:pPr>
      <w:pStyle w:val="Header"/>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5D5B0" w14:textId="3457855D" w:rsidR="00ED0B32" w:rsidRDefault="00D67894">
    <w:pPr>
      <w:pStyle w:val="Header"/>
    </w:pPr>
    <w:r>
      <w:rPr>
        <w:rFonts w:ascii="PF Catalog Light" w:hAnsi="PF Catalog Light"/>
        <w:b/>
        <w:noProof/>
        <w:color w:val="7F7F7F"/>
        <w:sz w:val="2"/>
        <w:szCs w:val="2"/>
        <w:lang w:val="en-US"/>
      </w:rPr>
      <w:drawing>
        <wp:inline distT="0" distB="0" distL="0" distR="0" wp14:anchorId="165BA2EE" wp14:editId="5EEC994B">
          <wp:extent cx="1939828" cy="496053"/>
          <wp:effectExtent l="0" t="0" r="3810" b="0"/>
          <wp:docPr id="1" name="Picture 40" descr="sepe_log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epe_logo2011"/>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2480"/>
                  <a:stretch>
                    <a:fillRect/>
                  </a:stretch>
                </pic:blipFill>
                <pic:spPr bwMode="auto">
                  <a:xfrm>
                    <a:off x="0" y="0"/>
                    <a:ext cx="1957297" cy="500520"/>
                  </a:xfrm>
                  <a:prstGeom prst="rect">
                    <a:avLst/>
                  </a:prstGeom>
                  <a:noFill/>
                  <a:ln>
                    <a:noFill/>
                  </a:ln>
                </pic:spPr>
              </pic:pic>
            </a:graphicData>
          </a:graphic>
        </wp:inline>
      </w:drawing>
    </w:r>
    <w:r w:rsidR="00FA3289">
      <w:t xml:space="preserve">                                                                 </w:t>
    </w:r>
    <w:r w:rsidR="00FA3289">
      <w:rPr>
        <w:noProof/>
      </w:rPr>
      <w:drawing>
        <wp:inline distT="0" distB="0" distL="0" distR="0" wp14:anchorId="3C69BD23" wp14:editId="1C96EB7D">
          <wp:extent cx="1645920" cy="316865"/>
          <wp:effectExtent l="0" t="0" r="0" b="6985"/>
          <wp:docPr id="83088325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5920" cy="3168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45AAC"/>
    <w:multiLevelType w:val="hybridMultilevel"/>
    <w:tmpl w:val="6304EC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4772723"/>
    <w:multiLevelType w:val="hybridMultilevel"/>
    <w:tmpl w:val="445CD8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1344AB4"/>
    <w:multiLevelType w:val="hybridMultilevel"/>
    <w:tmpl w:val="E49483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CED0350"/>
    <w:multiLevelType w:val="hybridMultilevel"/>
    <w:tmpl w:val="79EE17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3F0401A"/>
    <w:multiLevelType w:val="hybridMultilevel"/>
    <w:tmpl w:val="B1769E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A0F1641"/>
    <w:multiLevelType w:val="hybridMultilevel"/>
    <w:tmpl w:val="EDB03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71925936">
    <w:abstractNumId w:val="4"/>
  </w:num>
  <w:num w:numId="2" w16cid:durableId="1225944355">
    <w:abstractNumId w:val="0"/>
  </w:num>
  <w:num w:numId="3" w16cid:durableId="611980220">
    <w:abstractNumId w:val="3"/>
  </w:num>
  <w:num w:numId="4" w16cid:durableId="580213773">
    <w:abstractNumId w:val="1"/>
  </w:num>
  <w:num w:numId="5" w16cid:durableId="698700430">
    <w:abstractNumId w:val="5"/>
  </w:num>
  <w:num w:numId="6" w16cid:durableId="1663507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W3MLUwNTQysDCzMDFS0lEKTi0uzszPAykwrgUANMI92iwAAAA="/>
  </w:docVars>
  <w:rsids>
    <w:rsidRoot w:val="003D1ED7"/>
    <w:rsid w:val="000023DD"/>
    <w:rsid w:val="000041AD"/>
    <w:rsid w:val="00011B29"/>
    <w:rsid w:val="00014E48"/>
    <w:rsid w:val="00030761"/>
    <w:rsid w:val="0003259B"/>
    <w:rsid w:val="000343B8"/>
    <w:rsid w:val="0005037D"/>
    <w:rsid w:val="00050AD6"/>
    <w:rsid w:val="00051E1C"/>
    <w:rsid w:val="00073A06"/>
    <w:rsid w:val="00073CFD"/>
    <w:rsid w:val="00075575"/>
    <w:rsid w:val="000875B7"/>
    <w:rsid w:val="000903D3"/>
    <w:rsid w:val="00094F11"/>
    <w:rsid w:val="000A7486"/>
    <w:rsid w:val="000B20BE"/>
    <w:rsid w:val="000B28C8"/>
    <w:rsid w:val="000B2C02"/>
    <w:rsid w:val="000B2D05"/>
    <w:rsid w:val="000B5201"/>
    <w:rsid w:val="000C3561"/>
    <w:rsid w:val="000C48D4"/>
    <w:rsid w:val="000C5E56"/>
    <w:rsid w:val="000D2593"/>
    <w:rsid w:val="000D60AC"/>
    <w:rsid w:val="000E3AE8"/>
    <w:rsid w:val="000F0DC4"/>
    <w:rsid w:val="001006B6"/>
    <w:rsid w:val="00102E7F"/>
    <w:rsid w:val="00107712"/>
    <w:rsid w:val="00123AC0"/>
    <w:rsid w:val="00125969"/>
    <w:rsid w:val="00127002"/>
    <w:rsid w:val="00132137"/>
    <w:rsid w:val="0013292F"/>
    <w:rsid w:val="00140329"/>
    <w:rsid w:val="00140B36"/>
    <w:rsid w:val="00154786"/>
    <w:rsid w:val="00162CE8"/>
    <w:rsid w:val="00163D9E"/>
    <w:rsid w:val="00164C06"/>
    <w:rsid w:val="00175F60"/>
    <w:rsid w:val="00177D06"/>
    <w:rsid w:val="00190B72"/>
    <w:rsid w:val="00197F95"/>
    <w:rsid w:val="001D3209"/>
    <w:rsid w:val="001E47B1"/>
    <w:rsid w:val="001E4B58"/>
    <w:rsid w:val="001E4E7D"/>
    <w:rsid w:val="001F36F3"/>
    <w:rsid w:val="00200C8F"/>
    <w:rsid w:val="00203353"/>
    <w:rsid w:val="00233E6A"/>
    <w:rsid w:val="00240A2A"/>
    <w:rsid w:val="00247A51"/>
    <w:rsid w:val="002527A2"/>
    <w:rsid w:val="00260D33"/>
    <w:rsid w:val="00265020"/>
    <w:rsid w:val="00266288"/>
    <w:rsid w:val="00266C4F"/>
    <w:rsid w:val="0027069D"/>
    <w:rsid w:val="00276954"/>
    <w:rsid w:val="00281811"/>
    <w:rsid w:val="0028523A"/>
    <w:rsid w:val="00285F45"/>
    <w:rsid w:val="00290B51"/>
    <w:rsid w:val="002915B4"/>
    <w:rsid w:val="00296554"/>
    <w:rsid w:val="002A2CDA"/>
    <w:rsid w:val="002A4E72"/>
    <w:rsid w:val="002A51B7"/>
    <w:rsid w:val="002A75CE"/>
    <w:rsid w:val="002C196B"/>
    <w:rsid w:val="002C1D3A"/>
    <w:rsid w:val="002C1DED"/>
    <w:rsid w:val="002C2249"/>
    <w:rsid w:val="002F3104"/>
    <w:rsid w:val="002F3BB0"/>
    <w:rsid w:val="002F5ED3"/>
    <w:rsid w:val="00301A2F"/>
    <w:rsid w:val="0031210B"/>
    <w:rsid w:val="00312319"/>
    <w:rsid w:val="003230E3"/>
    <w:rsid w:val="00326C1A"/>
    <w:rsid w:val="00337B99"/>
    <w:rsid w:val="00341404"/>
    <w:rsid w:val="00342A00"/>
    <w:rsid w:val="00344F84"/>
    <w:rsid w:val="00346427"/>
    <w:rsid w:val="00350259"/>
    <w:rsid w:val="003573E9"/>
    <w:rsid w:val="00363923"/>
    <w:rsid w:val="00381EC5"/>
    <w:rsid w:val="00391DAF"/>
    <w:rsid w:val="003A718B"/>
    <w:rsid w:val="003B0BA9"/>
    <w:rsid w:val="003B228E"/>
    <w:rsid w:val="003B22AD"/>
    <w:rsid w:val="003B4C61"/>
    <w:rsid w:val="003B4F77"/>
    <w:rsid w:val="003B6CF7"/>
    <w:rsid w:val="003C29CE"/>
    <w:rsid w:val="003C61D2"/>
    <w:rsid w:val="003D1ED7"/>
    <w:rsid w:val="003E3E9C"/>
    <w:rsid w:val="003E5755"/>
    <w:rsid w:val="003F6849"/>
    <w:rsid w:val="004077F4"/>
    <w:rsid w:val="0041413F"/>
    <w:rsid w:val="00423CAB"/>
    <w:rsid w:val="00427417"/>
    <w:rsid w:val="004277F0"/>
    <w:rsid w:val="00436A0B"/>
    <w:rsid w:val="004450B8"/>
    <w:rsid w:val="00445D59"/>
    <w:rsid w:val="004505CB"/>
    <w:rsid w:val="00450A4A"/>
    <w:rsid w:val="00461EBF"/>
    <w:rsid w:val="00461F92"/>
    <w:rsid w:val="00466870"/>
    <w:rsid w:val="004736D0"/>
    <w:rsid w:val="00477236"/>
    <w:rsid w:val="00482689"/>
    <w:rsid w:val="00490C9C"/>
    <w:rsid w:val="004A3F1C"/>
    <w:rsid w:val="004A66D9"/>
    <w:rsid w:val="004B225D"/>
    <w:rsid w:val="004B2BF0"/>
    <w:rsid w:val="004B3337"/>
    <w:rsid w:val="004C5719"/>
    <w:rsid w:val="004C677A"/>
    <w:rsid w:val="004D060C"/>
    <w:rsid w:val="004D32B6"/>
    <w:rsid w:val="004D575E"/>
    <w:rsid w:val="004D7541"/>
    <w:rsid w:val="004F16AF"/>
    <w:rsid w:val="004F411E"/>
    <w:rsid w:val="00504ADD"/>
    <w:rsid w:val="0051464B"/>
    <w:rsid w:val="005152F3"/>
    <w:rsid w:val="00517402"/>
    <w:rsid w:val="00530D6F"/>
    <w:rsid w:val="005311A2"/>
    <w:rsid w:val="005512E8"/>
    <w:rsid w:val="0055760B"/>
    <w:rsid w:val="00572696"/>
    <w:rsid w:val="00582B1C"/>
    <w:rsid w:val="0058575B"/>
    <w:rsid w:val="00595834"/>
    <w:rsid w:val="00596C9E"/>
    <w:rsid w:val="005A6E25"/>
    <w:rsid w:val="005E2930"/>
    <w:rsid w:val="005E2D64"/>
    <w:rsid w:val="005E3610"/>
    <w:rsid w:val="005E5D84"/>
    <w:rsid w:val="005F5242"/>
    <w:rsid w:val="005F7FE5"/>
    <w:rsid w:val="00600CB4"/>
    <w:rsid w:val="0060189C"/>
    <w:rsid w:val="006040CB"/>
    <w:rsid w:val="006050D9"/>
    <w:rsid w:val="006143AC"/>
    <w:rsid w:val="00644DD4"/>
    <w:rsid w:val="00650E85"/>
    <w:rsid w:val="00652966"/>
    <w:rsid w:val="00671618"/>
    <w:rsid w:val="00676EAA"/>
    <w:rsid w:val="00690577"/>
    <w:rsid w:val="006B1498"/>
    <w:rsid w:val="006C23ED"/>
    <w:rsid w:val="006C3047"/>
    <w:rsid w:val="006D7FCA"/>
    <w:rsid w:val="006E29AC"/>
    <w:rsid w:val="006F0859"/>
    <w:rsid w:val="006F3C6A"/>
    <w:rsid w:val="00702032"/>
    <w:rsid w:val="0070263F"/>
    <w:rsid w:val="00710DFA"/>
    <w:rsid w:val="00721507"/>
    <w:rsid w:val="0074074E"/>
    <w:rsid w:val="00740D2A"/>
    <w:rsid w:val="0074543A"/>
    <w:rsid w:val="0074679C"/>
    <w:rsid w:val="00747051"/>
    <w:rsid w:val="00763D26"/>
    <w:rsid w:val="0076695F"/>
    <w:rsid w:val="0076772C"/>
    <w:rsid w:val="00767E0A"/>
    <w:rsid w:val="007700BB"/>
    <w:rsid w:val="0078062F"/>
    <w:rsid w:val="007866B9"/>
    <w:rsid w:val="007868FB"/>
    <w:rsid w:val="0079373E"/>
    <w:rsid w:val="00795BC2"/>
    <w:rsid w:val="00795CE4"/>
    <w:rsid w:val="007A102C"/>
    <w:rsid w:val="007A5ECA"/>
    <w:rsid w:val="007B4B94"/>
    <w:rsid w:val="007C26BE"/>
    <w:rsid w:val="007C5350"/>
    <w:rsid w:val="007D6E39"/>
    <w:rsid w:val="008005A8"/>
    <w:rsid w:val="008051B2"/>
    <w:rsid w:val="00810285"/>
    <w:rsid w:val="008118FC"/>
    <w:rsid w:val="00812F39"/>
    <w:rsid w:val="00830A68"/>
    <w:rsid w:val="0083182F"/>
    <w:rsid w:val="00853D6F"/>
    <w:rsid w:val="008574F9"/>
    <w:rsid w:val="00890CC0"/>
    <w:rsid w:val="008A0890"/>
    <w:rsid w:val="008A544E"/>
    <w:rsid w:val="008C55B9"/>
    <w:rsid w:val="008D0AF5"/>
    <w:rsid w:val="008D4929"/>
    <w:rsid w:val="008E5DDC"/>
    <w:rsid w:val="008F0363"/>
    <w:rsid w:val="008F11D1"/>
    <w:rsid w:val="008F16AA"/>
    <w:rsid w:val="00903A6E"/>
    <w:rsid w:val="0090437F"/>
    <w:rsid w:val="009118DB"/>
    <w:rsid w:val="00916BBD"/>
    <w:rsid w:val="0092553D"/>
    <w:rsid w:val="00926E85"/>
    <w:rsid w:val="00932559"/>
    <w:rsid w:val="00937D3E"/>
    <w:rsid w:val="00950E8F"/>
    <w:rsid w:val="009548F8"/>
    <w:rsid w:val="00956CD3"/>
    <w:rsid w:val="00977FA4"/>
    <w:rsid w:val="0098638C"/>
    <w:rsid w:val="00990309"/>
    <w:rsid w:val="00997D56"/>
    <w:rsid w:val="009A072C"/>
    <w:rsid w:val="009A265A"/>
    <w:rsid w:val="009A718E"/>
    <w:rsid w:val="009A72ED"/>
    <w:rsid w:val="009B09DC"/>
    <w:rsid w:val="009B6F74"/>
    <w:rsid w:val="009C1FF0"/>
    <w:rsid w:val="009C6311"/>
    <w:rsid w:val="009D56A4"/>
    <w:rsid w:val="009E1609"/>
    <w:rsid w:val="009E2B06"/>
    <w:rsid w:val="009F74A8"/>
    <w:rsid w:val="00A06240"/>
    <w:rsid w:val="00A06AD3"/>
    <w:rsid w:val="00A135A2"/>
    <w:rsid w:val="00A22739"/>
    <w:rsid w:val="00A22B9F"/>
    <w:rsid w:val="00A23043"/>
    <w:rsid w:val="00A25437"/>
    <w:rsid w:val="00A32957"/>
    <w:rsid w:val="00A46DCF"/>
    <w:rsid w:val="00A50E0B"/>
    <w:rsid w:val="00A535EC"/>
    <w:rsid w:val="00A57BB5"/>
    <w:rsid w:val="00A6584D"/>
    <w:rsid w:val="00A72253"/>
    <w:rsid w:val="00A73B81"/>
    <w:rsid w:val="00A77446"/>
    <w:rsid w:val="00A91118"/>
    <w:rsid w:val="00A9305A"/>
    <w:rsid w:val="00A97A2F"/>
    <w:rsid w:val="00AA4CBA"/>
    <w:rsid w:val="00AB17D5"/>
    <w:rsid w:val="00AB3B39"/>
    <w:rsid w:val="00AB3ECB"/>
    <w:rsid w:val="00AB58E4"/>
    <w:rsid w:val="00AC726B"/>
    <w:rsid w:val="00AD7ADB"/>
    <w:rsid w:val="00AD7AE4"/>
    <w:rsid w:val="00AD7F47"/>
    <w:rsid w:val="00AE0D94"/>
    <w:rsid w:val="00AE28D3"/>
    <w:rsid w:val="00AE5256"/>
    <w:rsid w:val="00AE713F"/>
    <w:rsid w:val="00AE7159"/>
    <w:rsid w:val="00AF0FB1"/>
    <w:rsid w:val="00AF1A39"/>
    <w:rsid w:val="00AF3672"/>
    <w:rsid w:val="00AF3E3C"/>
    <w:rsid w:val="00AF5D88"/>
    <w:rsid w:val="00AF794A"/>
    <w:rsid w:val="00B00787"/>
    <w:rsid w:val="00B07709"/>
    <w:rsid w:val="00B150DA"/>
    <w:rsid w:val="00B3015E"/>
    <w:rsid w:val="00B31BB7"/>
    <w:rsid w:val="00B40714"/>
    <w:rsid w:val="00B46C26"/>
    <w:rsid w:val="00B63D39"/>
    <w:rsid w:val="00B7522B"/>
    <w:rsid w:val="00B86262"/>
    <w:rsid w:val="00B87F45"/>
    <w:rsid w:val="00B94673"/>
    <w:rsid w:val="00B963C0"/>
    <w:rsid w:val="00BB1911"/>
    <w:rsid w:val="00BB2D26"/>
    <w:rsid w:val="00BB2F42"/>
    <w:rsid w:val="00BB7A11"/>
    <w:rsid w:val="00BC7AE8"/>
    <w:rsid w:val="00BD0B21"/>
    <w:rsid w:val="00BD3E8A"/>
    <w:rsid w:val="00BD4F1B"/>
    <w:rsid w:val="00BE3C74"/>
    <w:rsid w:val="00BF26B2"/>
    <w:rsid w:val="00BF3B54"/>
    <w:rsid w:val="00BF44D6"/>
    <w:rsid w:val="00BF568E"/>
    <w:rsid w:val="00C02077"/>
    <w:rsid w:val="00C02A3D"/>
    <w:rsid w:val="00C05DD1"/>
    <w:rsid w:val="00C1358A"/>
    <w:rsid w:val="00C232B5"/>
    <w:rsid w:val="00C324AE"/>
    <w:rsid w:val="00C349C8"/>
    <w:rsid w:val="00C3653D"/>
    <w:rsid w:val="00C42D1A"/>
    <w:rsid w:val="00C53EA4"/>
    <w:rsid w:val="00C541AA"/>
    <w:rsid w:val="00C60F3F"/>
    <w:rsid w:val="00C6188E"/>
    <w:rsid w:val="00C63D7B"/>
    <w:rsid w:val="00C648F3"/>
    <w:rsid w:val="00C84B33"/>
    <w:rsid w:val="00CC1C99"/>
    <w:rsid w:val="00CC5104"/>
    <w:rsid w:val="00CC73FE"/>
    <w:rsid w:val="00CC7BE9"/>
    <w:rsid w:val="00CD25C0"/>
    <w:rsid w:val="00CD2EB1"/>
    <w:rsid w:val="00CD3B8A"/>
    <w:rsid w:val="00CD7232"/>
    <w:rsid w:val="00CE57BC"/>
    <w:rsid w:val="00CE5D1F"/>
    <w:rsid w:val="00CF51FF"/>
    <w:rsid w:val="00CF61C1"/>
    <w:rsid w:val="00D1437A"/>
    <w:rsid w:val="00D169D3"/>
    <w:rsid w:val="00D16F53"/>
    <w:rsid w:val="00D24368"/>
    <w:rsid w:val="00D52F07"/>
    <w:rsid w:val="00D56CB0"/>
    <w:rsid w:val="00D67894"/>
    <w:rsid w:val="00D81555"/>
    <w:rsid w:val="00D85F93"/>
    <w:rsid w:val="00D93F37"/>
    <w:rsid w:val="00DA01DA"/>
    <w:rsid w:val="00DA2ED6"/>
    <w:rsid w:val="00DB09B7"/>
    <w:rsid w:val="00DB3DCB"/>
    <w:rsid w:val="00DD0D51"/>
    <w:rsid w:val="00DE22F5"/>
    <w:rsid w:val="00DE787A"/>
    <w:rsid w:val="00DF1AF8"/>
    <w:rsid w:val="00DF211A"/>
    <w:rsid w:val="00DF3562"/>
    <w:rsid w:val="00DF7E6A"/>
    <w:rsid w:val="00E17DEC"/>
    <w:rsid w:val="00E33E06"/>
    <w:rsid w:val="00E3679B"/>
    <w:rsid w:val="00E37301"/>
    <w:rsid w:val="00E411B5"/>
    <w:rsid w:val="00E41B48"/>
    <w:rsid w:val="00E449A8"/>
    <w:rsid w:val="00E4624A"/>
    <w:rsid w:val="00E50AA7"/>
    <w:rsid w:val="00E510B8"/>
    <w:rsid w:val="00E62859"/>
    <w:rsid w:val="00E67226"/>
    <w:rsid w:val="00E73603"/>
    <w:rsid w:val="00E741A9"/>
    <w:rsid w:val="00E8762E"/>
    <w:rsid w:val="00E9687C"/>
    <w:rsid w:val="00E97DBD"/>
    <w:rsid w:val="00EA6975"/>
    <w:rsid w:val="00EA7163"/>
    <w:rsid w:val="00ED0B32"/>
    <w:rsid w:val="00ED376B"/>
    <w:rsid w:val="00ED5BC5"/>
    <w:rsid w:val="00ED63EB"/>
    <w:rsid w:val="00EF404F"/>
    <w:rsid w:val="00EF6732"/>
    <w:rsid w:val="00F01FE4"/>
    <w:rsid w:val="00F04C73"/>
    <w:rsid w:val="00F06B93"/>
    <w:rsid w:val="00F13E7A"/>
    <w:rsid w:val="00F14DF9"/>
    <w:rsid w:val="00F21517"/>
    <w:rsid w:val="00F21607"/>
    <w:rsid w:val="00F21F6F"/>
    <w:rsid w:val="00F22A95"/>
    <w:rsid w:val="00F30E86"/>
    <w:rsid w:val="00F33EE1"/>
    <w:rsid w:val="00F4191F"/>
    <w:rsid w:val="00F523B5"/>
    <w:rsid w:val="00F65CDE"/>
    <w:rsid w:val="00F668EE"/>
    <w:rsid w:val="00F84099"/>
    <w:rsid w:val="00F84ABF"/>
    <w:rsid w:val="00F91F68"/>
    <w:rsid w:val="00FA3261"/>
    <w:rsid w:val="00FA3289"/>
    <w:rsid w:val="00FB2468"/>
    <w:rsid w:val="00FB3098"/>
    <w:rsid w:val="00FC70CE"/>
    <w:rsid w:val="00FD6B1D"/>
    <w:rsid w:val="00FE691B"/>
    <w:rsid w:val="00FF13AD"/>
    <w:rsid w:val="00FF2955"/>
    <w:rsid w:val="00FF45FD"/>
    <w:rsid w:val="00FF510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4C2C2"/>
  <w15:chartTrackingRefBased/>
  <w15:docId w15:val="{EB1D2592-D81F-44D9-AB7D-DDF4964F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D1ED7"/>
    <w:rPr>
      <w:b/>
      <w:bCs/>
    </w:rPr>
  </w:style>
  <w:style w:type="paragraph" w:styleId="NormalWeb">
    <w:name w:val="Normal (Web)"/>
    <w:basedOn w:val="Normal"/>
    <w:uiPriority w:val="99"/>
    <w:unhideWhenUsed/>
    <w:rsid w:val="004F16AF"/>
    <w:pPr>
      <w:spacing w:before="100" w:beforeAutospacing="1" w:after="100" w:afterAutospacing="1" w:line="240" w:lineRule="auto"/>
    </w:pPr>
    <w:rPr>
      <w:rFonts w:ascii="Times New Roman" w:eastAsiaTheme="minorEastAsia" w:hAnsi="Times New Roman" w:cs="Times New Roman"/>
      <w:sz w:val="24"/>
      <w:szCs w:val="24"/>
      <w:lang w:eastAsia="el-GR"/>
    </w:rPr>
  </w:style>
  <w:style w:type="paragraph" w:styleId="Header">
    <w:name w:val="header"/>
    <w:basedOn w:val="Normal"/>
    <w:link w:val="HeaderChar"/>
    <w:uiPriority w:val="99"/>
    <w:unhideWhenUsed/>
    <w:rsid w:val="00A91118"/>
    <w:pPr>
      <w:tabs>
        <w:tab w:val="center" w:pos="4153"/>
        <w:tab w:val="right" w:pos="8306"/>
      </w:tabs>
      <w:spacing w:after="0" w:line="240" w:lineRule="auto"/>
    </w:pPr>
  </w:style>
  <w:style w:type="character" w:customStyle="1" w:styleId="HeaderChar">
    <w:name w:val="Header Char"/>
    <w:basedOn w:val="DefaultParagraphFont"/>
    <w:link w:val="Header"/>
    <w:uiPriority w:val="99"/>
    <w:rsid w:val="00A91118"/>
  </w:style>
  <w:style w:type="paragraph" w:styleId="Footer">
    <w:name w:val="footer"/>
    <w:basedOn w:val="Normal"/>
    <w:link w:val="FooterChar"/>
    <w:uiPriority w:val="99"/>
    <w:unhideWhenUsed/>
    <w:rsid w:val="00A91118"/>
    <w:pPr>
      <w:tabs>
        <w:tab w:val="center" w:pos="4153"/>
        <w:tab w:val="right" w:pos="8306"/>
      </w:tabs>
      <w:spacing w:after="0" w:line="240" w:lineRule="auto"/>
    </w:pPr>
  </w:style>
  <w:style w:type="character" w:customStyle="1" w:styleId="FooterChar">
    <w:name w:val="Footer Char"/>
    <w:basedOn w:val="DefaultParagraphFont"/>
    <w:link w:val="Footer"/>
    <w:uiPriority w:val="99"/>
    <w:rsid w:val="00A91118"/>
  </w:style>
  <w:style w:type="character" w:styleId="Hyperlink">
    <w:name w:val="Hyperlink"/>
    <w:basedOn w:val="DefaultParagraphFont"/>
    <w:uiPriority w:val="99"/>
    <w:unhideWhenUsed/>
    <w:rsid w:val="00671618"/>
    <w:rPr>
      <w:color w:val="0563C1" w:themeColor="hyperlink"/>
      <w:u w:val="single"/>
    </w:rPr>
  </w:style>
  <w:style w:type="character" w:customStyle="1" w:styleId="1">
    <w:name w:val="Ανεπίλυτη αναφορά1"/>
    <w:basedOn w:val="DefaultParagraphFont"/>
    <w:uiPriority w:val="99"/>
    <w:semiHidden/>
    <w:unhideWhenUsed/>
    <w:rsid w:val="00671618"/>
    <w:rPr>
      <w:color w:val="808080"/>
      <w:shd w:val="clear" w:color="auto" w:fill="E6E6E6"/>
    </w:rPr>
  </w:style>
  <w:style w:type="paragraph" w:styleId="BalloonText">
    <w:name w:val="Balloon Text"/>
    <w:basedOn w:val="Normal"/>
    <w:link w:val="BalloonTextChar"/>
    <w:uiPriority w:val="99"/>
    <w:semiHidden/>
    <w:unhideWhenUsed/>
    <w:rsid w:val="00830A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A68"/>
    <w:rPr>
      <w:rFonts w:ascii="Segoe UI" w:hAnsi="Segoe UI" w:cs="Segoe UI"/>
      <w:sz w:val="18"/>
      <w:szCs w:val="18"/>
    </w:rPr>
  </w:style>
  <w:style w:type="paragraph" w:styleId="ListParagraph">
    <w:name w:val="List Paragraph"/>
    <w:basedOn w:val="Normal"/>
    <w:uiPriority w:val="34"/>
    <w:qFormat/>
    <w:rsid w:val="00200C8F"/>
    <w:pPr>
      <w:ind w:left="720"/>
      <w:contextualSpacing/>
    </w:pPr>
  </w:style>
  <w:style w:type="paragraph" w:styleId="Revision">
    <w:name w:val="Revision"/>
    <w:hidden/>
    <w:uiPriority w:val="99"/>
    <w:semiHidden/>
    <w:rsid w:val="00F91F68"/>
    <w:pPr>
      <w:spacing w:after="0" w:line="240" w:lineRule="auto"/>
    </w:pPr>
  </w:style>
  <w:style w:type="character" w:styleId="UnresolvedMention">
    <w:name w:val="Unresolved Mention"/>
    <w:basedOn w:val="DefaultParagraphFont"/>
    <w:uiPriority w:val="99"/>
    <w:semiHidden/>
    <w:unhideWhenUsed/>
    <w:rsid w:val="00A9305A"/>
    <w:rPr>
      <w:color w:val="605E5C"/>
      <w:shd w:val="clear" w:color="auto" w:fill="E1DFDD"/>
    </w:rPr>
  </w:style>
  <w:style w:type="character" w:styleId="CommentReference">
    <w:name w:val="annotation reference"/>
    <w:basedOn w:val="DefaultParagraphFont"/>
    <w:uiPriority w:val="99"/>
    <w:semiHidden/>
    <w:unhideWhenUsed/>
    <w:rsid w:val="00FD6B1D"/>
    <w:rPr>
      <w:sz w:val="16"/>
      <w:szCs w:val="16"/>
    </w:rPr>
  </w:style>
  <w:style w:type="paragraph" w:styleId="CommentText">
    <w:name w:val="annotation text"/>
    <w:basedOn w:val="Normal"/>
    <w:link w:val="CommentTextChar"/>
    <w:uiPriority w:val="99"/>
    <w:unhideWhenUsed/>
    <w:rsid w:val="00FD6B1D"/>
    <w:pPr>
      <w:spacing w:line="240" w:lineRule="auto"/>
    </w:pPr>
    <w:rPr>
      <w:sz w:val="20"/>
      <w:szCs w:val="20"/>
    </w:rPr>
  </w:style>
  <w:style w:type="character" w:customStyle="1" w:styleId="CommentTextChar">
    <w:name w:val="Comment Text Char"/>
    <w:basedOn w:val="DefaultParagraphFont"/>
    <w:link w:val="CommentText"/>
    <w:uiPriority w:val="99"/>
    <w:rsid w:val="00FD6B1D"/>
    <w:rPr>
      <w:sz w:val="20"/>
      <w:szCs w:val="20"/>
    </w:rPr>
  </w:style>
  <w:style w:type="paragraph" w:styleId="CommentSubject">
    <w:name w:val="annotation subject"/>
    <w:basedOn w:val="CommentText"/>
    <w:next w:val="CommentText"/>
    <w:link w:val="CommentSubjectChar"/>
    <w:uiPriority w:val="99"/>
    <w:semiHidden/>
    <w:unhideWhenUsed/>
    <w:rsid w:val="00FD6B1D"/>
    <w:rPr>
      <w:b/>
      <w:bCs/>
    </w:rPr>
  </w:style>
  <w:style w:type="character" w:customStyle="1" w:styleId="CommentSubjectChar">
    <w:name w:val="Comment Subject Char"/>
    <w:basedOn w:val="CommentTextChar"/>
    <w:link w:val="CommentSubject"/>
    <w:uiPriority w:val="99"/>
    <w:semiHidden/>
    <w:rsid w:val="00FD6B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452363">
      <w:bodyDiv w:val="1"/>
      <w:marLeft w:val="0"/>
      <w:marRight w:val="0"/>
      <w:marTop w:val="0"/>
      <w:marBottom w:val="0"/>
      <w:divBdr>
        <w:top w:val="none" w:sz="0" w:space="0" w:color="auto"/>
        <w:left w:val="none" w:sz="0" w:space="0" w:color="auto"/>
        <w:bottom w:val="none" w:sz="0" w:space="0" w:color="auto"/>
        <w:right w:val="none" w:sz="0" w:space="0" w:color="auto"/>
      </w:divBdr>
    </w:div>
    <w:div w:id="732584676">
      <w:bodyDiv w:val="1"/>
      <w:marLeft w:val="0"/>
      <w:marRight w:val="0"/>
      <w:marTop w:val="0"/>
      <w:marBottom w:val="0"/>
      <w:divBdr>
        <w:top w:val="none" w:sz="0" w:space="0" w:color="auto"/>
        <w:left w:val="none" w:sz="0" w:space="0" w:color="auto"/>
        <w:bottom w:val="none" w:sz="0" w:space="0" w:color="auto"/>
        <w:right w:val="none" w:sz="0" w:space="0" w:color="auto"/>
      </w:divBdr>
    </w:div>
    <w:div w:id="892737650">
      <w:bodyDiv w:val="1"/>
      <w:marLeft w:val="0"/>
      <w:marRight w:val="0"/>
      <w:marTop w:val="0"/>
      <w:marBottom w:val="0"/>
      <w:divBdr>
        <w:top w:val="none" w:sz="0" w:space="0" w:color="auto"/>
        <w:left w:val="none" w:sz="0" w:space="0" w:color="auto"/>
        <w:bottom w:val="none" w:sz="0" w:space="0" w:color="auto"/>
        <w:right w:val="none" w:sz="0" w:space="0" w:color="auto"/>
      </w:divBdr>
    </w:div>
    <w:div w:id="1037438542">
      <w:bodyDiv w:val="1"/>
      <w:marLeft w:val="0"/>
      <w:marRight w:val="0"/>
      <w:marTop w:val="0"/>
      <w:marBottom w:val="0"/>
      <w:divBdr>
        <w:top w:val="none" w:sz="0" w:space="0" w:color="auto"/>
        <w:left w:val="none" w:sz="0" w:space="0" w:color="auto"/>
        <w:bottom w:val="none" w:sz="0" w:space="0" w:color="auto"/>
        <w:right w:val="none" w:sz="0" w:space="0" w:color="auto"/>
      </w:divBdr>
    </w:div>
    <w:div w:id="130870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eforum.sepe.g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8d08c6-bfa0-4528-8153-7c54af80ad30" xsi:nil="true"/>
    <lcf76f155ced4ddcb4097134ff3c332f xmlns="d3256bfc-4a1a-477f-858a-d48d024bd9c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B03880FA885540B2F8DA9206FEFD24" ma:contentTypeVersion="18" ma:contentTypeDescription="Create a new document." ma:contentTypeScope="" ma:versionID="335b3a36c92b13217b245ce7f0f9ba0a">
  <xsd:schema xmlns:xsd="http://www.w3.org/2001/XMLSchema" xmlns:xs="http://www.w3.org/2001/XMLSchema" xmlns:p="http://schemas.microsoft.com/office/2006/metadata/properties" xmlns:ns2="d3256bfc-4a1a-477f-858a-d48d024bd9c7" xmlns:ns3="798d08c6-bfa0-4528-8153-7c54af80ad30" targetNamespace="http://schemas.microsoft.com/office/2006/metadata/properties" ma:root="true" ma:fieldsID="c5623f3ce714edd776cd370700a4d52a" ns2:_="" ns3:_="">
    <xsd:import namespace="d3256bfc-4a1a-477f-858a-d48d024bd9c7"/>
    <xsd:import namespace="798d08c6-bfa0-4528-8153-7c54af80ad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56bfc-4a1a-477f-858a-d48d024bd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8d08c6-bfa0-4528-8153-7c54af80ad3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ccaef8-09d8-4277-a432-e29d40c91e8c}" ma:internalName="TaxCatchAll" ma:showField="CatchAllData" ma:web="798d08c6-bfa0-4528-8153-7c54af80ad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60BDE-D42A-439E-8FAA-1DA823C85D25}">
  <ds:schemaRefs>
    <ds:schemaRef ds:uri="http://schemas.microsoft.com/office/2006/metadata/properties"/>
    <ds:schemaRef ds:uri="http://schemas.microsoft.com/office/infopath/2007/PartnerControls"/>
    <ds:schemaRef ds:uri="798d08c6-bfa0-4528-8153-7c54af80ad30"/>
    <ds:schemaRef ds:uri="d3256bfc-4a1a-477f-858a-d48d024bd9c7"/>
  </ds:schemaRefs>
</ds:datastoreItem>
</file>

<file path=customXml/itemProps2.xml><?xml version="1.0" encoding="utf-8"?>
<ds:datastoreItem xmlns:ds="http://schemas.openxmlformats.org/officeDocument/2006/customXml" ds:itemID="{BFDC3298-328E-4B38-8269-4E8937424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56bfc-4a1a-477f-858a-d48d024bd9c7"/>
    <ds:schemaRef ds:uri="798d08c6-bfa0-4528-8153-7c54af80a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299365-6741-446D-8444-A6BD269685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892</Words>
  <Characters>5086</Characters>
  <Application>Microsoft Office Word</Application>
  <DocSecurity>0</DocSecurity>
  <Lines>42</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Moulavasili</dc:creator>
  <cp:keywords/>
  <dc:description/>
  <cp:lastModifiedBy>Panagiotis Kalogeropoulos</cp:lastModifiedBy>
  <cp:revision>3</cp:revision>
  <cp:lastPrinted>2019-10-17T11:51:00Z</cp:lastPrinted>
  <dcterms:created xsi:type="dcterms:W3CDTF">2024-12-16T06:18:00Z</dcterms:created>
  <dcterms:modified xsi:type="dcterms:W3CDTF">2024-12-16T10:15:00Z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0x01010032B03880FA885540B2F8DA9206FEFD24</vt:lpwstr>
  </property>
  <property fmtid="{D5CDD505-2E9C-101B-9397-08002B2CF9AE}" pid="3" name="MSIP_Label_ea60d57e-af5b-4752-ac57-3e4f28ca11dc_Enabled">
    <vt:lpwstr>true</vt:lpwstr>
  </property>
  <property fmtid="{D5CDD505-2E9C-101B-9397-08002B2CF9AE}" pid="4" name="MSIP_Label_ea60d57e-af5b-4752-ac57-3e4f28ca11dc_SetDate">
    <vt:lpwstr>2024-12-15T19:50:57Z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ce3b6859-37b3-4016-a3df-e23e2996aa41</vt:lpwstr>
  </property>
  <property fmtid="{D5CDD505-2E9C-101B-9397-08002B2CF9AE}" pid="9" name="MSIP_Label_ea60d57e-af5b-4752-ac57-3e4f28ca11dc_ContentBits">
    <vt:lpwstr>0</vt:lpwstr>
  </property>
  <property fmtid="{D5CDD505-2E9C-101B-9397-08002B2CF9AE}" pid="10" name="MediaServiceImageTags">
    <vt:lpwstr/>
  </property>
</Properties>
</file>